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81B" w:rsidRPr="005A3F39" w:rsidRDefault="0091281B" w:rsidP="005A3F39">
      <w:pPr>
        <w:spacing w:after="0" w:line="260" w:lineRule="atLeast"/>
        <w:jc w:val="center"/>
        <w:rPr>
          <w:rFonts w:ascii="Verdana" w:hAnsi="Verdana"/>
          <w:b/>
          <w:color w:val="0066CC"/>
          <w:sz w:val="18"/>
          <w:szCs w:val="18"/>
        </w:rPr>
      </w:pPr>
      <w:r>
        <w:rPr>
          <w:rFonts w:ascii="Verdana" w:hAnsi="Verdana"/>
          <w:b/>
          <w:noProof/>
          <w:color w:val="808080" w:themeColor="background1" w:themeShade="80"/>
          <w:sz w:val="18"/>
          <w:szCs w:val="18"/>
          <w:lang w:val="en-US"/>
        </w:rPr>
        <w:drawing>
          <wp:inline distT="0" distB="0" distL="0" distR="0">
            <wp:extent cx="6026812" cy="919480"/>
            <wp:effectExtent l="0" t="0" r="5715" b="0"/>
            <wp:docPr id="3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9920" cy="924531"/>
                    </a:xfrm>
                    <a:prstGeom prst="rect">
                      <a:avLst/>
                    </a:prstGeom>
                    <a:noFill/>
                    <a:ln>
                      <a:noFill/>
                    </a:ln>
                  </pic:spPr>
                </pic:pic>
              </a:graphicData>
            </a:graphic>
          </wp:inline>
        </w:drawing>
      </w:r>
    </w:p>
    <w:tbl>
      <w:tblPr>
        <w:tblW w:w="0" w:type="auto"/>
        <w:tblLook w:val="01E0" w:firstRow="1" w:lastRow="1" w:firstColumn="1" w:lastColumn="1" w:noHBand="0" w:noVBand="0"/>
      </w:tblPr>
      <w:tblGrid>
        <w:gridCol w:w="4350"/>
        <w:gridCol w:w="5226"/>
      </w:tblGrid>
      <w:tr w:rsidR="0091281B" w:rsidRPr="005A3F39">
        <w:tc>
          <w:tcPr>
            <w:tcW w:w="4360" w:type="dxa"/>
            <w:shd w:val="clear" w:color="auto" w:fill="auto"/>
          </w:tcPr>
          <w:p w:rsidR="0091281B" w:rsidRPr="005A3F39" w:rsidRDefault="005F7892" w:rsidP="00ED43D0">
            <w:pPr>
              <w:pStyle w:val="FV1zentriert"/>
              <w:spacing w:after="0" w:line="260" w:lineRule="atLeast"/>
              <w:jc w:val="left"/>
              <w:rPr>
                <w:rFonts w:ascii="Verdana" w:hAnsi="Verdana"/>
                <w:b w:val="0"/>
                <w:color w:val="0066CC"/>
                <w:szCs w:val="18"/>
              </w:rPr>
            </w:pPr>
            <w:hyperlink r:id="rId9" w:history="1">
              <w:r w:rsidR="00ED43D0">
                <w:rPr>
                  <w:rStyle w:val="Hyperlink"/>
                  <w:rFonts w:ascii="Verdana" w:hAnsi="Verdana"/>
                  <w:b w:val="0"/>
                  <w:szCs w:val="18"/>
                </w:rPr>
                <w:t>www.coe.int/cybercrime</w:t>
              </w:r>
            </w:hyperlink>
          </w:p>
          <w:p w:rsidR="0091281B" w:rsidRPr="005A3F39" w:rsidRDefault="0091281B" w:rsidP="005A3F39">
            <w:pPr>
              <w:pStyle w:val="FV1zentriert"/>
              <w:spacing w:after="0" w:line="260" w:lineRule="atLeast"/>
              <w:rPr>
                <w:rFonts w:ascii="Verdana" w:hAnsi="Verdana"/>
                <w:b w:val="0"/>
                <w:color w:val="0066CC"/>
                <w:szCs w:val="18"/>
              </w:rPr>
            </w:pPr>
          </w:p>
        </w:tc>
        <w:tc>
          <w:tcPr>
            <w:tcW w:w="5246" w:type="dxa"/>
            <w:shd w:val="clear" w:color="auto" w:fill="auto"/>
          </w:tcPr>
          <w:p w:rsidR="0091281B" w:rsidRPr="005A3F39" w:rsidRDefault="0091281B" w:rsidP="00ED43D0">
            <w:pPr>
              <w:pStyle w:val="FV1zentriert"/>
              <w:spacing w:after="0" w:line="260" w:lineRule="atLeast"/>
              <w:jc w:val="right"/>
              <w:rPr>
                <w:rFonts w:ascii="Verdana" w:hAnsi="Verdana"/>
                <w:b w:val="0"/>
                <w:color w:val="0066CC"/>
                <w:szCs w:val="18"/>
              </w:rPr>
            </w:pPr>
            <w:r>
              <w:rPr>
                <w:rFonts w:ascii="Verdana" w:hAnsi="Verdana"/>
                <w:b w:val="0"/>
                <w:color w:val="0066CC"/>
                <w:szCs w:val="18"/>
              </w:rPr>
              <w:t>Divisão de Proteção de Dados e Cibercrime</w:t>
            </w:r>
            <w:r>
              <w:rPr>
                <w:rFonts w:ascii="Verdana" w:hAnsi="Verdana"/>
                <w:b w:val="0"/>
                <w:color w:val="0066CC"/>
                <w:szCs w:val="18"/>
              </w:rPr>
              <w:br/>
              <w:t>Direção-Geral de Direitos Humanos e Estado de Direito Estrasburgo, França</w:t>
            </w:r>
            <w:r>
              <w:rPr>
                <w:rFonts w:ascii="Verdana" w:hAnsi="Verdana"/>
                <w:b w:val="0"/>
                <w:color w:val="0066CC"/>
                <w:szCs w:val="18"/>
              </w:rPr>
              <w:br/>
            </w:r>
          </w:p>
          <w:p w:rsidR="0091281B" w:rsidRPr="005A3F39" w:rsidRDefault="0091281B" w:rsidP="00ED43D0">
            <w:pPr>
              <w:pStyle w:val="FV1zentriert"/>
              <w:spacing w:after="0" w:line="260" w:lineRule="atLeast"/>
              <w:jc w:val="right"/>
              <w:rPr>
                <w:rFonts w:ascii="Verdana" w:hAnsi="Verdana"/>
                <w:b w:val="0"/>
                <w:color w:val="0066CC"/>
                <w:szCs w:val="18"/>
              </w:rPr>
            </w:pPr>
            <w:r>
              <w:rPr>
                <w:rFonts w:ascii="Verdana" w:hAnsi="Verdana"/>
                <w:b w:val="0"/>
                <w:color w:val="0066CC"/>
                <w:szCs w:val="18"/>
              </w:rPr>
              <w:t>Versão de março de 2018</w:t>
            </w:r>
          </w:p>
        </w:tc>
      </w:tr>
    </w:tbl>
    <w:p w:rsidR="0091281B" w:rsidRPr="005A3F39" w:rsidRDefault="0091281B" w:rsidP="005A3F39">
      <w:pPr>
        <w:pStyle w:val="Formatvorlage1"/>
        <w:tabs>
          <w:tab w:val="left" w:pos="2127"/>
        </w:tabs>
        <w:rPr>
          <w:color w:val="808080"/>
          <w:szCs w:val="18"/>
        </w:rPr>
      </w:pPr>
    </w:p>
    <w:p w:rsidR="0091281B" w:rsidRPr="005A3F39" w:rsidRDefault="0091281B" w:rsidP="005A3F39">
      <w:pPr>
        <w:pStyle w:val="Formatvorlage1"/>
        <w:tabs>
          <w:tab w:val="left" w:pos="2127"/>
        </w:tabs>
        <w:rPr>
          <w:color w:val="808080"/>
          <w:szCs w:val="18"/>
        </w:rPr>
      </w:pPr>
    </w:p>
    <w:p w:rsidR="0091281B" w:rsidRPr="005A3F39" w:rsidRDefault="0091281B" w:rsidP="005A3F39">
      <w:pPr>
        <w:pStyle w:val="Formatvorlage1"/>
        <w:tabs>
          <w:tab w:val="left" w:pos="2127"/>
        </w:tabs>
        <w:rPr>
          <w:color w:val="808080"/>
          <w:szCs w:val="18"/>
        </w:rPr>
      </w:pPr>
    </w:p>
    <w:p w:rsidR="0091281B" w:rsidRPr="005A3F39" w:rsidRDefault="0091281B" w:rsidP="005A3F39">
      <w:pPr>
        <w:spacing w:after="0" w:line="260" w:lineRule="atLeast"/>
        <w:jc w:val="both"/>
        <w:rPr>
          <w:rFonts w:ascii="Verdana" w:hAnsi="Verdana"/>
          <w:b/>
          <w:sz w:val="18"/>
          <w:szCs w:val="18"/>
        </w:rPr>
      </w:pPr>
    </w:p>
    <w:p w:rsidR="0091281B" w:rsidRPr="005A3F39" w:rsidRDefault="0091281B" w:rsidP="005A3F39">
      <w:pPr>
        <w:spacing w:after="0" w:line="260" w:lineRule="atLeast"/>
        <w:jc w:val="center"/>
        <w:rPr>
          <w:rFonts w:ascii="Verdana" w:hAnsi="Verdana"/>
          <w:b/>
          <w:sz w:val="32"/>
          <w:szCs w:val="32"/>
        </w:rPr>
      </w:pPr>
      <w:r>
        <w:rPr>
          <w:rFonts w:ascii="Verdana" w:hAnsi="Verdana"/>
          <w:b/>
          <w:sz w:val="32"/>
          <w:szCs w:val="32"/>
        </w:rPr>
        <w:t>Formação avançada sobre cibercrime e prova eletrónica para juízes e procuradores</w:t>
      </w:r>
    </w:p>
    <w:p w:rsidR="0091281B" w:rsidRPr="005A3F39" w:rsidRDefault="00ED43D0" w:rsidP="005A3F39">
      <w:pPr>
        <w:spacing w:after="0" w:line="260" w:lineRule="atLeast"/>
        <w:jc w:val="center"/>
        <w:rPr>
          <w:rFonts w:ascii="Verdana" w:hAnsi="Verdana"/>
          <w:b/>
          <w:sz w:val="32"/>
          <w:szCs w:val="32"/>
        </w:rPr>
      </w:pPr>
      <w:r>
        <w:rPr>
          <w:rFonts w:ascii="Verdana" w:hAnsi="Verdana"/>
          <w:b/>
          <w:sz w:val="32"/>
          <w:szCs w:val="32"/>
        </w:rPr>
        <w:t>2018</w:t>
      </w:r>
    </w:p>
    <w:p w:rsidR="0091281B" w:rsidRDefault="0091281B" w:rsidP="005A3F39">
      <w:pPr>
        <w:spacing w:after="0" w:line="260" w:lineRule="atLeast"/>
        <w:jc w:val="center"/>
        <w:rPr>
          <w:rFonts w:ascii="Verdana" w:hAnsi="Verdana"/>
          <w:b/>
          <w:sz w:val="32"/>
          <w:szCs w:val="32"/>
        </w:rPr>
      </w:pPr>
    </w:p>
    <w:p w:rsidR="00415427" w:rsidRPr="005A3F39" w:rsidRDefault="00415427" w:rsidP="005A3F39">
      <w:pPr>
        <w:spacing w:after="0" w:line="260" w:lineRule="atLeast"/>
        <w:jc w:val="center"/>
        <w:rPr>
          <w:rFonts w:ascii="Verdana" w:hAnsi="Verdana"/>
          <w:b/>
          <w:sz w:val="32"/>
          <w:szCs w:val="32"/>
        </w:rPr>
      </w:pPr>
    </w:p>
    <w:p w:rsidR="00415427" w:rsidRDefault="00415427" w:rsidP="005A3F39">
      <w:pPr>
        <w:spacing w:after="0" w:line="260" w:lineRule="atLeast"/>
        <w:jc w:val="center"/>
        <w:rPr>
          <w:rStyle w:val="eop"/>
        </w:rPr>
      </w:pPr>
      <w:r>
        <w:rPr>
          <w:rStyle w:val="eop"/>
          <w:rFonts w:ascii="Verdana" w:hAnsi="Verdana"/>
          <w:i/>
          <w:sz w:val="32"/>
          <w:szCs w:val="32"/>
        </w:rPr>
        <w:t xml:space="preserve">Introdução ao estudo de caso </w:t>
      </w:r>
      <w:r w:rsidR="00416707">
        <w:rPr>
          <w:rStyle w:val="eop"/>
          <w:rFonts w:ascii="Verdana" w:hAnsi="Verdana"/>
          <w:i/>
          <w:sz w:val="32"/>
          <w:szCs w:val="32"/>
        </w:rPr>
        <w:t xml:space="preserve"> e</w:t>
      </w:r>
    </w:p>
    <w:p w:rsidR="0091281B" w:rsidRPr="00415427" w:rsidRDefault="00ED43D0" w:rsidP="005A3F39">
      <w:pPr>
        <w:spacing w:after="0" w:line="260" w:lineRule="atLeast"/>
        <w:jc w:val="center"/>
        <w:rPr>
          <w:rFonts w:ascii="Verdana" w:hAnsi="Verdana"/>
          <w:b/>
          <w:i/>
          <w:sz w:val="32"/>
          <w:szCs w:val="32"/>
        </w:rPr>
      </w:pPr>
      <w:r>
        <w:rPr>
          <w:rStyle w:val="eop"/>
          <w:rFonts w:ascii="Verdana" w:hAnsi="Verdana"/>
          <w:i/>
          <w:sz w:val="32"/>
          <w:szCs w:val="32"/>
        </w:rPr>
        <w:t xml:space="preserve">  </w:t>
      </w:r>
      <w:r w:rsidR="001D04CD">
        <w:rPr>
          <w:rStyle w:val="eop"/>
          <w:rFonts w:ascii="Verdana" w:hAnsi="Verdana"/>
          <w:i/>
          <w:sz w:val="32"/>
          <w:szCs w:val="32"/>
        </w:rPr>
        <w:t>G</w:t>
      </w:r>
      <w:r>
        <w:rPr>
          <w:rStyle w:val="eop"/>
          <w:rFonts w:ascii="Verdana" w:hAnsi="Verdana"/>
          <w:i/>
          <w:sz w:val="32"/>
          <w:szCs w:val="32"/>
        </w:rPr>
        <w:t>uia de formadores</w:t>
      </w:r>
    </w:p>
    <w:p w:rsidR="0091281B" w:rsidRPr="005A3F39" w:rsidRDefault="0091281B" w:rsidP="005A3F39">
      <w:pPr>
        <w:spacing w:after="0" w:line="260" w:lineRule="atLeast"/>
        <w:jc w:val="both"/>
        <w:rPr>
          <w:rFonts w:ascii="Verdana" w:hAnsi="Verdana"/>
          <w:b/>
          <w:sz w:val="18"/>
          <w:szCs w:val="18"/>
        </w:rPr>
      </w:pPr>
    </w:p>
    <w:p w:rsidR="0091281B" w:rsidRPr="005A3F39" w:rsidRDefault="0091281B" w:rsidP="005A3F39">
      <w:pPr>
        <w:spacing w:after="0" w:line="260" w:lineRule="atLeast"/>
        <w:jc w:val="both"/>
        <w:rPr>
          <w:rFonts w:ascii="Verdana" w:hAnsi="Verdana"/>
          <w:b/>
          <w:sz w:val="18"/>
          <w:szCs w:val="18"/>
        </w:rPr>
      </w:pPr>
    </w:p>
    <w:p w:rsidR="0091281B" w:rsidRDefault="0091281B"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bookmarkStart w:id="0" w:name="_GoBack"/>
      <w:bookmarkEnd w:id="0"/>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5A3F39" w:rsidRDefault="005A3F39" w:rsidP="005A3F39">
      <w:pPr>
        <w:spacing w:after="0" w:line="260" w:lineRule="atLeast"/>
        <w:jc w:val="both"/>
        <w:rPr>
          <w:rFonts w:ascii="Verdana" w:hAnsi="Verdana"/>
          <w:b/>
          <w:sz w:val="18"/>
          <w:szCs w:val="18"/>
        </w:rPr>
      </w:pPr>
    </w:p>
    <w:p w:rsidR="0091281B" w:rsidRPr="005A3F39" w:rsidRDefault="0091281B" w:rsidP="005A3F39">
      <w:pPr>
        <w:spacing w:after="0" w:line="260" w:lineRule="atLeast"/>
        <w:jc w:val="both"/>
        <w:rPr>
          <w:rFonts w:ascii="Verdana" w:hAnsi="Verdana"/>
          <w:b/>
          <w:sz w:val="18"/>
          <w:szCs w:val="18"/>
        </w:rPr>
      </w:pPr>
    </w:p>
    <w:p w:rsidR="0091281B" w:rsidRPr="005A3F39" w:rsidRDefault="0091281B" w:rsidP="005A3F39">
      <w:pPr>
        <w:tabs>
          <w:tab w:val="left" w:pos="426"/>
        </w:tabs>
        <w:spacing w:after="0" w:line="260" w:lineRule="atLeast"/>
        <w:jc w:val="center"/>
        <w:rPr>
          <w:rFonts w:ascii="Verdana" w:hAnsi="Verdana"/>
          <w:b/>
          <w:color w:val="808080"/>
          <w:sz w:val="18"/>
          <w:szCs w:val="18"/>
        </w:rPr>
      </w:pPr>
      <w:r>
        <w:rPr>
          <w:rFonts w:ascii="Verdana" w:hAnsi="Verdana"/>
          <w:noProof/>
          <w:sz w:val="18"/>
          <w:szCs w:val="18"/>
          <w:lang w:val="en-US"/>
        </w:rPr>
        <w:drawing>
          <wp:inline distT="0" distB="0" distL="0" distR="0">
            <wp:extent cx="4739640" cy="839470"/>
            <wp:effectExtent l="0" t="0" r="10160" b="0"/>
            <wp:docPr id="1" name="Picture 1"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coe_JP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9640" cy="839470"/>
                    </a:xfrm>
                    <a:prstGeom prst="rect">
                      <a:avLst/>
                    </a:prstGeom>
                    <a:noFill/>
                    <a:ln>
                      <a:noFill/>
                    </a:ln>
                  </pic:spPr>
                </pic:pic>
              </a:graphicData>
            </a:graphic>
          </wp:inline>
        </w:drawing>
      </w:r>
    </w:p>
    <w:p w:rsidR="00ED43D0" w:rsidRDefault="00ED43D0" w:rsidP="005A3F39">
      <w:pPr>
        <w:spacing w:after="0" w:line="260" w:lineRule="atLeast"/>
        <w:rPr>
          <w:rFonts w:ascii="Verdana" w:hAnsi="Verdana" w:cstheme="minorHAnsi"/>
          <w:b/>
          <w:sz w:val="18"/>
          <w:szCs w:val="18"/>
        </w:rPr>
      </w:pPr>
    </w:p>
    <w:p w:rsidR="00F43D7D" w:rsidRDefault="00F43D7D" w:rsidP="005A3F39">
      <w:pPr>
        <w:spacing w:after="0" w:line="260" w:lineRule="atLeast"/>
        <w:rPr>
          <w:rFonts w:ascii="Verdana" w:hAnsi="Verdana"/>
          <w:b/>
          <w:sz w:val="18"/>
          <w:szCs w:val="18"/>
        </w:rPr>
      </w:pPr>
      <w:r>
        <w:rPr>
          <w:rFonts w:ascii="Verdana" w:hAnsi="Verdana"/>
          <w:b/>
          <w:sz w:val="18"/>
          <w:szCs w:val="18"/>
        </w:rPr>
        <w:lastRenderedPageBreak/>
        <w:t>Conteúdo</w:t>
      </w:r>
    </w:p>
    <w:p w:rsidR="00321D54" w:rsidRPr="005A3F39" w:rsidRDefault="00321D54" w:rsidP="005A3F39">
      <w:pPr>
        <w:spacing w:after="0" w:line="260" w:lineRule="atLeast"/>
        <w:rPr>
          <w:rFonts w:ascii="Verdana" w:hAnsi="Verdana" w:cstheme="minorHAnsi"/>
          <w:b/>
          <w:sz w:val="18"/>
          <w:szCs w:val="18"/>
        </w:rPr>
      </w:pPr>
    </w:p>
    <w:p w:rsidR="00F43D7D" w:rsidRPr="005A3F39" w:rsidRDefault="005A3F39" w:rsidP="005A3F39">
      <w:pPr>
        <w:spacing w:after="0" w:line="260" w:lineRule="atLeast"/>
        <w:rPr>
          <w:rFonts w:ascii="Verdana" w:hAnsi="Verdana" w:cstheme="minorHAnsi"/>
          <w:b/>
          <w:sz w:val="18"/>
          <w:szCs w:val="18"/>
        </w:rPr>
      </w:pPr>
      <w:r>
        <w:rPr>
          <w:rFonts w:ascii="Verdana" w:hAnsi="Verdana"/>
          <w:b/>
          <w:sz w:val="18"/>
          <w:szCs w:val="18"/>
        </w:rPr>
        <w:t>1. Introdução ..……………………………………………………</w:t>
      </w:r>
      <w:r w:rsidR="00321D54">
        <w:rPr>
          <w:rFonts w:ascii="Verdana" w:hAnsi="Verdana"/>
          <w:b/>
          <w:sz w:val="18"/>
          <w:szCs w:val="18"/>
        </w:rPr>
        <w:t>..</w:t>
      </w:r>
      <w:r>
        <w:rPr>
          <w:rFonts w:ascii="Verdana" w:hAnsi="Verdana"/>
          <w:b/>
          <w:sz w:val="18"/>
          <w:szCs w:val="18"/>
        </w:rPr>
        <w:t>…………………………………………………. 3</w:t>
      </w:r>
    </w:p>
    <w:p w:rsidR="005A3F39" w:rsidRDefault="005A3F39" w:rsidP="005A3F39">
      <w:pPr>
        <w:spacing w:after="0" w:line="260" w:lineRule="atLeast"/>
        <w:rPr>
          <w:rFonts w:ascii="Verdana" w:hAnsi="Verdana" w:cstheme="minorHAnsi"/>
          <w:b/>
          <w:sz w:val="18"/>
          <w:szCs w:val="18"/>
        </w:rPr>
      </w:pPr>
    </w:p>
    <w:p w:rsidR="00F43D7D" w:rsidRPr="005A3F39" w:rsidRDefault="005A3F39" w:rsidP="005A3F39">
      <w:pPr>
        <w:spacing w:after="0" w:line="260" w:lineRule="atLeast"/>
        <w:rPr>
          <w:rFonts w:ascii="Verdana" w:hAnsi="Verdana" w:cstheme="minorHAnsi"/>
          <w:b/>
          <w:sz w:val="18"/>
          <w:szCs w:val="18"/>
        </w:rPr>
      </w:pPr>
      <w:r>
        <w:rPr>
          <w:rFonts w:ascii="Verdana" w:hAnsi="Verdana"/>
          <w:b/>
          <w:sz w:val="18"/>
          <w:szCs w:val="18"/>
        </w:rPr>
        <w:t>2. Investigação ………………………………………………………………………………………………….……. 4</w:t>
      </w:r>
    </w:p>
    <w:p w:rsidR="00F43D7D" w:rsidRPr="005A3F39" w:rsidRDefault="00F43D7D" w:rsidP="00035860">
      <w:pPr>
        <w:spacing w:after="0" w:line="260" w:lineRule="atLeast"/>
        <w:ind w:firstLine="720"/>
        <w:rPr>
          <w:rFonts w:ascii="Verdana" w:hAnsi="Verdana" w:cstheme="minorHAnsi"/>
          <w:b/>
          <w:sz w:val="18"/>
          <w:szCs w:val="18"/>
        </w:rPr>
      </w:pPr>
      <w:r>
        <w:rPr>
          <w:rFonts w:ascii="Verdana" w:hAnsi="Verdana"/>
          <w:b/>
          <w:sz w:val="18"/>
          <w:szCs w:val="18"/>
        </w:rPr>
        <w:t>2.1 Estabelecimento dos factos iniciais</w:t>
      </w:r>
    </w:p>
    <w:p w:rsidR="00F43D7D" w:rsidRPr="005A3F39" w:rsidRDefault="00F43D7D" w:rsidP="00035860">
      <w:pPr>
        <w:spacing w:after="0" w:line="260" w:lineRule="atLeast"/>
        <w:ind w:firstLine="720"/>
        <w:rPr>
          <w:rFonts w:ascii="Verdana" w:hAnsi="Verdana" w:cstheme="minorHAnsi"/>
          <w:b/>
          <w:sz w:val="18"/>
          <w:szCs w:val="18"/>
        </w:rPr>
      </w:pPr>
      <w:r>
        <w:rPr>
          <w:rFonts w:ascii="Verdana" w:hAnsi="Verdana"/>
          <w:b/>
          <w:sz w:val="18"/>
          <w:szCs w:val="18"/>
        </w:rPr>
        <w:t>2.2 Estabelecimento de dúvida razoável sobre o possível início do crime</w:t>
      </w:r>
    </w:p>
    <w:p w:rsidR="005A3F39" w:rsidRDefault="005A3F39" w:rsidP="005A3F39">
      <w:pPr>
        <w:spacing w:after="0" w:line="260" w:lineRule="atLeast"/>
        <w:rPr>
          <w:rFonts w:ascii="Verdana" w:hAnsi="Verdana" w:cstheme="minorHAnsi"/>
          <w:b/>
          <w:sz w:val="18"/>
          <w:szCs w:val="18"/>
        </w:rPr>
      </w:pPr>
    </w:p>
    <w:p w:rsidR="00F43D7D" w:rsidRDefault="00F43D7D" w:rsidP="005A3F39">
      <w:pPr>
        <w:spacing w:after="0" w:line="260" w:lineRule="atLeast"/>
        <w:rPr>
          <w:rFonts w:ascii="Verdana" w:hAnsi="Verdana" w:cstheme="minorHAnsi"/>
          <w:b/>
          <w:sz w:val="18"/>
          <w:szCs w:val="18"/>
        </w:rPr>
      </w:pPr>
      <w:r>
        <w:rPr>
          <w:rFonts w:ascii="Verdana" w:hAnsi="Verdana"/>
          <w:b/>
          <w:sz w:val="18"/>
          <w:szCs w:val="18"/>
        </w:rPr>
        <w:t>3. Configuração financeira .…………………………………….………………………………………………… 5</w:t>
      </w:r>
    </w:p>
    <w:p w:rsidR="005A3F39" w:rsidRPr="005A3F39" w:rsidRDefault="005A3F39" w:rsidP="005A3F39">
      <w:pPr>
        <w:spacing w:after="0" w:line="260" w:lineRule="atLeast"/>
        <w:rPr>
          <w:rFonts w:ascii="Verdana" w:hAnsi="Verdana" w:cstheme="minorHAnsi"/>
          <w:b/>
          <w:sz w:val="18"/>
          <w:szCs w:val="18"/>
        </w:rPr>
      </w:pPr>
    </w:p>
    <w:p w:rsidR="00F43D7D" w:rsidRDefault="00F43D7D" w:rsidP="005A3F39">
      <w:pPr>
        <w:spacing w:after="0" w:line="260" w:lineRule="atLeast"/>
        <w:rPr>
          <w:rFonts w:ascii="Verdana" w:hAnsi="Verdana" w:cstheme="minorHAnsi"/>
          <w:b/>
          <w:sz w:val="18"/>
          <w:szCs w:val="18"/>
        </w:rPr>
      </w:pPr>
      <w:r>
        <w:rPr>
          <w:rFonts w:ascii="Verdana" w:hAnsi="Verdana"/>
          <w:b/>
          <w:sz w:val="18"/>
          <w:szCs w:val="18"/>
        </w:rPr>
        <w:t>4.</w:t>
      </w:r>
      <w:r>
        <w:rPr>
          <w:rFonts w:ascii="Verdana" w:hAnsi="Verdana"/>
          <w:sz w:val="18"/>
          <w:szCs w:val="18"/>
        </w:rPr>
        <w:t xml:space="preserve"> </w:t>
      </w:r>
      <w:r>
        <w:rPr>
          <w:rFonts w:ascii="Verdana" w:hAnsi="Verdana"/>
          <w:b/>
          <w:sz w:val="18"/>
          <w:szCs w:val="18"/>
        </w:rPr>
        <w:t>Início do crime efetivo e ponto-chave da investigação ……</w:t>
      </w:r>
      <w:r w:rsidR="00321D54">
        <w:rPr>
          <w:rFonts w:ascii="Verdana" w:hAnsi="Verdana"/>
          <w:b/>
          <w:sz w:val="18"/>
          <w:szCs w:val="18"/>
        </w:rPr>
        <w:t>..</w:t>
      </w:r>
      <w:r>
        <w:rPr>
          <w:rFonts w:ascii="Verdana" w:hAnsi="Verdana"/>
          <w:b/>
          <w:sz w:val="18"/>
          <w:szCs w:val="18"/>
        </w:rPr>
        <w:t>…………………….……………….. 6</w:t>
      </w:r>
    </w:p>
    <w:p w:rsidR="005A3F39" w:rsidRPr="000336BF" w:rsidRDefault="005A3F39" w:rsidP="005A3F39">
      <w:pPr>
        <w:spacing w:after="0" w:line="260" w:lineRule="atLeast"/>
        <w:rPr>
          <w:rFonts w:ascii="Verdana" w:hAnsi="Verdana" w:cstheme="minorHAnsi"/>
          <w:b/>
          <w:sz w:val="18"/>
          <w:szCs w:val="18"/>
        </w:rPr>
      </w:pPr>
    </w:p>
    <w:p w:rsidR="00F43D7D" w:rsidRDefault="00F43D7D" w:rsidP="005A3F39">
      <w:pPr>
        <w:spacing w:after="0" w:line="260" w:lineRule="atLeast"/>
        <w:rPr>
          <w:rFonts w:ascii="Verdana" w:hAnsi="Verdana" w:cstheme="minorHAnsi"/>
          <w:b/>
          <w:sz w:val="18"/>
          <w:szCs w:val="18"/>
        </w:rPr>
      </w:pPr>
      <w:r>
        <w:rPr>
          <w:rFonts w:ascii="Verdana" w:hAnsi="Verdana"/>
          <w:b/>
          <w:sz w:val="18"/>
          <w:szCs w:val="18"/>
        </w:rPr>
        <w:t>5.</w:t>
      </w:r>
      <w:r>
        <w:rPr>
          <w:rFonts w:ascii="Verdana" w:hAnsi="Verdana"/>
          <w:sz w:val="18"/>
          <w:szCs w:val="18"/>
        </w:rPr>
        <w:t xml:space="preserve"> </w:t>
      </w:r>
      <w:r>
        <w:rPr>
          <w:rFonts w:ascii="Verdana" w:hAnsi="Verdana"/>
          <w:b/>
          <w:sz w:val="18"/>
          <w:szCs w:val="18"/>
        </w:rPr>
        <w:t>Fim do crime e início do processo ………………………….…………</w:t>
      </w:r>
      <w:r w:rsidR="00321D54">
        <w:rPr>
          <w:rFonts w:ascii="Verdana" w:hAnsi="Verdana"/>
          <w:b/>
          <w:sz w:val="18"/>
          <w:szCs w:val="18"/>
        </w:rPr>
        <w:t>.....................</w:t>
      </w:r>
      <w:r>
        <w:rPr>
          <w:rFonts w:ascii="Verdana" w:hAnsi="Verdana"/>
          <w:b/>
          <w:sz w:val="18"/>
          <w:szCs w:val="18"/>
        </w:rPr>
        <w:t>………………… 8</w:t>
      </w:r>
    </w:p>
    <w:p w:rsidR="005A3F39" w:rsidRPr="005A3F39" w:rsidRDefault="005A3F39" w:rsidP="005A3F39">
      <w:pPr>
        <w:spacing w:after="0" w:line="260" w:lineRule="atLeast"/>
        <w:rPr>
          <w:rFonts w:ascii="Verdana" w:hAnsi="Verdana" w:cstheme="minorHAnsi"/>
          <w:b/>
          <w:sz w:val="18"/>
          <w:szCs w:val="18"/>
        </w:rPr>
      </w:pPr>
    </w:p>
    <w:p w:rsidR="00F43D7D" w:rsidRDefault="00F43D7D" w:rsidP="005A3F39">
      <w:pPr>
        <w:spacing w:after="0" w:line="260" w:lineRule="atLeast"/>
        <w:rPr>
          <w:rFonts w:ascii="Verdana" w:hAnsi="Verdana" w:cstheme="minorHAnsi"/>
          <w:b/>
          <w:sz w:val="18"/>
          <w:szCs w:val="18"/>
        </w:rPr>
      </w:pPr>
      <w:r>
        <w:rPr>
          <w:rFonts w:ascii="Verdana" w:hAnsi="Verdana"/>
          <w:b/>
          <w:sz w:val="18"/>
          <w:szCs w:val="18"/>
        </w:rPr>
        <w:t>6.</w:t>
      </w:r>
      <w:r>
        <w:rPr>
          <w:rFonts w:ascii="Verdana" w:hAnsi="Verdana"/>
          <w:sz w:val="18"/>
          <w:szCs w:val="18"/>
        </w:rPr>
        <w:t xml:space="preserve"> </w:t>
      </w:r>
      <w:r>
        <w:rPr>
          <w:rFonts w:ascii="Verdana" w:hAnsi="Verdana"/>
          <w:b/>
          <w:sz w:val="18"/>
          <w:szCs w:val="18"/>
        </w:rPr>
        <w:t>Principais etapas da investigação e principais provas eletrónicas …………………..…</w:t>
      </w:r>
      <w:r w:rsidR="00321D54">
        <w:rPr>
          <w:rFonts w:ascii="Verdana" w:hAnsi="Verdana"/>
          <w:b/>
          <w:sz w:val="18"/>
          <w:szCs w:val="18"/>
        </w:rPr>
        <w:t>..</w:t>
      </w:r>
      <w:r>
        <w:rPr>
          <w:rFonts w:ascii="Verdana" w:hAnsi="Verdana"/>
          <w:b/>
          <w:sz w:val="18"/>
          <w:szCs w:val="18"/>
        </w:rPr>
        <w:t>…… 10</w:t>
      </w:r>
    </w:p>
    <w:p w:rsidR="00ED43D0" w:rsidRDefault="00ED43D0" w:rsidP="005A3F39">
      <w:pPr>
        <w:spacing w:after="0" w:line="260" w:lineRule="atLeast"/>
        <w:rPr>
          <w:rFonts w:ascii="Verdana" w:hAnsi="Verdana" w:cstheme="minorHAnsi"/>
          <w:b/>
          <w:sz w:val="18"/>
          <w:szCs w:val="18"/>
        </w:rPr>
      </w:pPr>
    </w:p>
    <w:p w:rsidR="00ED43D0" w:rsidRPr="005A3F39" w:rsidRDefault="00ED43D0" w:rsidP="005A3F39">
      <w:pPr>
        <w:spacing w:after="0" w:line="260" w:lineRule="atLeast"/>
        <w:rPr>
          <w:rFonts w:ascii="Verdana" w:hAnsi="Verdana" w:cstheme="minorHAnsi"/>
          <w:sz w:val="18"/>
          <w:szCs w:val="18"/>
        </w:rPr>
      </w:pPr>
      <w:r>
        <w:rPr>
          <w:rFonts w:ascii="Verdana" w:hAnsi="Verdana"/>
          <w:b/>
          <w:sz w:val="18"/>
          <w:szCs w:val="18"/>
        </w:rPr>
        <w:t>7. Anexo .………………………………………………….….……</w:t>
      </w:r>
      <w:r w:rsidR="00321D54">
        <w:rPr>
          <w:rFonts w:ascii="Verdana" w:hAnsi="Verdana"/>
          <w:b/>
          <w:sz w:val="18"/>
          <w:szCs w:val="18"/>
        </w:rPr>
        <w:t>.....</w:t>
      </w:r>
      <w:r>
        <w:rPr>
          <w:rFonts w:ascii="Verdana" w:hAnsi="Verdana"/>
          <w:b/>
          <w:sz w:val="18"/>
          <w:szCs w:val="18"/>
        </w:rPr>
        <w:t>……………………………………………… 11</w:t>
      </w:r>
    </w:p>
    <w:p w:rsidR="00F43D7D" w:rsidRPr="005A3F39" w:rsidRDefault="00F43D7D" w:rsidP="005A3F39">
      <w:pPr>
        <w:spacing w:after="0" w:line="260" w:lineRule="atLeast"/>
        <w:rPr>
          <w:rFonts w:ascii="Verdana" w:hAnsi="Verdana" w:cstheme="minorHAnsi"/>
          <w:sz w:val="18"/>
          <w:szCs w:val="18"/>
        </w:rPr>
      </w:pPr>
    </w:p>
    <w:p w:rsidR="00F43D7D" w:rsidRPr="000336BF" w:rsidRDefault="00F43D7D" w:rsidP="005A3F39">
      <w:pPr>
        <w:spacing w:after="0" w:line="260" w:lineRule="atLeast"/>
        <w:jc w:val="both"/>
        <w:rPr>
          <w:rFonts w:ascii="Verdana" w:hAnsi="Verdana" w:cstheme="minorHAnsi"/>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Pr="005A3F39" w:rsidRDefault="00F43D7D" w:rsidP="005A3F39">
      <w:pPr>
        <w:spacing w:after="0" w:line="260" w:lineRule="atLeast"/>
        <w:jc w:val="both"/>
        <w:rPr>
          <w:rFonts w:ascii="Verdana" w:hAnsi="Verdana" w:cstheme="minorHAnsi"/>
          <w:b/>
          <w:sz w:val="18"/>
          <w:szCs w:val="18"/>
        </w:rPr>
      </w:pPr>
    </w:p>
    <w:p w:rsidR="00F43D7D" w:rsidRDefault="00F43D7D"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18"/>
          <w:szCs w:val="18"/>
        </w:rPr>
      </w:pPr>
    </w:p>
    <w:p w:rsidR="0091281B" w:rsidRDefault="00F43D7D" w:rsidP="005A3F39">
      <w:pPr>
        <w:spacing w:after="0" w:line="260" w:lineRule="atLeast"/>
        <w:jc w:val="both"/>
        <w:rPr>
          <w:rFonts w:ascii="Verdana" w:hAnsi="Verdana"/>
          <w:b/>
          <w:sz w:val="24"/>
          <w:szCs w:val="24"/>
        </w:rPr>
      </w:pPr>
      <w:r>
        <w:rPr>
          <w:rFonts w:ascii="Verdana" w:hAnsi="Verdana"/>
          <w:b/>
          <w:sz w:val="24"/>
          <w:szCs w:val="24"/>
        </w:rPr>
        <w:lastRenderedPageBreak/>
        <w:t>1. Introdução</w:t>
      </w:r>
    </w:p>
    <w:p w:rsidR="00321D54" w:rsidRPr="005A3F39" w:rsidRDefault="00321D54" w:rsidP="005A3F39">
      <w:pPr>
        <w:spacing w:after="0" w:line="260" w:lineRule="atLeast"/>
        <w:jc w:val="both"/>
        <w:rPr>
          <w:rFonts w:ascii="Verdana" w:hAnsi="Verdana" w:cstheme="minorHAnsi"/>
          <w:b/>
          <w:sz w:val="24"/>
          <w:szCs w:val="24"/>
        </w:rPr>
      </w:pPr>
    </w:p>
    <w:p w:rsidR="00FC25BA" w:rsidRPr="005A3F39" w:rsidRDefault="00FC25BA" w:rsidP="005A3F39">
      <w:pPr>
        <w:spacing w:after="0" w:line="260" w:lineRule="atLeast"/>
        <w:jc w:val="both"/>
        <w:rPr>
          <w:rFonts w:ascii="Verdana" w:hAnsi="Verdana" w:cstheme="minorHAnsi"/>
          <w:sz w:val="18"/>
          <w:szCs w:val="18"/>
        </w:rPr>
      </w:pPr>
      <w:r>
        <w:rPr>
          <w:rFonts w:ascii="Verdana" w:hAnsi="Verdana"/>
          <w:sz w:val="18"/>
          <w:szCs w:val="18"/>
        </w:rPr>
        <w:t>O cenário deste estudo de caso refere-se a esquemas recentes de comprometimento de e-mails empresariais ou "BEC" (do inglês, Business E-Mail Compromise), que derivam de fraudes como "fraude de CEO" ou "ataques indiretos/por intermediários" (</w:t>
      </w:r>
      <w:r>
        <w:rPr>
          <w:rFonts w:ascii="Verdana" w:hAnsi="Verdana"/>
          <w:i/>
          <w:sz w:val="18"/>
          <w:szCs w:val="18"/>
        </w:rPr>
        <w:t>man-in-the-middle</w:t>
      </w:r>
      <w:r>
        <w:rPr>
          <w:rFonts w:ascii="Verdana" w:hAnsi="Verdana"/>
          <w:sz w:val="18"/>
          <w:szCs w:val="18"/>
        </w:rPr>
        <w:t xml:space="preserve">) anteriormente detetadas. O objetivo e a dimensão destas fraudes são surpreendentes. </w:t>
      </w:r>
    </w:p>
    <w:p w:rsidR="00F72A93" w:rsidRPr="005A3F39" w:rsidRDefault="00F72A93" w:rsidP="005A3F39">
      <w:pPr>
        <w:spacing w:after="0" w:line="260" w:lineRule="atLeast"/>
        <w:jc w:val="both"/>
        <w:rPr>
          <w:rFonts w:ascii="Verdana" w:hAnsi="Verdana" w:cstheme="minorHAnsi"/>
          <w:sz w:val="18"/>
          <w:szCs w:val="18"/>
        </w:rPr>
      </w:pPr>
    </w:p>
    <w:p w:rsidR="00D73FE9" w:rsidRPr="005A3F39" w:rsidRDefault="000D6736" w:rsidP="005A3F39">
      <w:pPr>
        <w:spacing w:after="0" w:line="260" w:lineRule="atLeast"/>
        <w:jc w:val="both"/>
        <w:rPr>
          <w:rFonts w:ascii="Verdana" w:hAnsi="Verdana" w:cstheme="minorHAnsi"/>
          <w:sz w:val="18"/>
          <w:szCs w:val="18"/>
        </w:rPr>
      </w:pPr>
      <w:r>
        <w:rPr>
          <w:rFonts w:ascii="Verdana" w:hAnsi="Verdana"/>
          <w:sz w:val="18"/>
          <w:szCs w:val="18"/>
        </w:rPr>
        <w:t xml:space="preserve">Os danos substanciais infligidos às vítimas aumentam cada vez mais, embora as autoridades governamentais e o setor privado de um grande número de países em todo o mundo estejam constantemente a tentar aumentar a consciencialização entre as comunidades públicas e privadas. Infelizmente, as informações mais recentes sobre os danos financeiros agregados causados a nível global não </w:t>
      </w:r>
      <w:r w:rsidR="00416707">
        <w:rPr>
          <w:rFonts w:ascii="Verdana" w:hAnsi="Verdana"/>
          <w:sz w:val="18"/>
          <w:szCs w:val="18"/>
        </w:rPr>
        <w:t>permitem concluir</w:t>
      </w:r>
      <w:r>
        <w:rPr>
          <w:rFonts w:ascii="Verdana" w:hAnsi="Verdana"/>
          <w:sz w:val="18"/>
          <w:szCs w:val="18"/>
        </w:rPr>
        <w:t xml:space="preserve"> que houve qualquer progresso nesta área.</w:t>
      </w:r>
    </w:p>
    <w:p w:rsidR="00B83A23" w:rsidRPr="005A3F39" w:rsidRDefault="00B83A23" w:rsidP="005A3F39">
      <w:pPr>
        <w:spacing w:after="0" w:line="260" w:lineRule="atLeast"/>
        <w:jc w:val="both"/>
        <w:rPr>
          <w:rFonts w:ascii="Verdana" w:hAnsi="Verdana" w:cstheme="minorHAnsi"/>
          <w:sz w:val="18"/>
          <w:szCs w:val="18"/>
        </w:rPr>
      </w:pPr>
    </w:p>
    <w:p w:rsidR="00C948B3" w:rsidRPr="005A3F39" w:rsidRDefault="004A7EDF" w:rsidP="005A3F39">
      <w:pPr>
        <w:spacing w:after="0" w:line="260" w:lineRule="atLeast"/>
        <w:jc w:val="both"/>
        <w:rPr>
          <w:rFonts w:ascii="Verdana" w:hAnsi="Verdana" w:cstheme="minorHAnsi"/>
          <w:b/>
          <w:sz w:val="18"/>
          <w:szCs w:val="18"/>
        </w:rPr>
      </w:pPr>
      <w:r>
        <w:rPr>
          <w:rFonts w:ascii="Verdana" w:hAnsi="Verdana"/>
          <w:i/>
          <w:sz w:val="18"/>
          <w:szCs w:val="18"/>
        </w:rPr>
        <w:t>Nota aos formadores:</w:t>
      </w:r>
      <w:r>
        <w:rPr>
          <w:rFonts w:ascii="Verdana" w:hAnsi="Verdana"/>
          <w:sz w:val="18"/>
          <w:szCs w:val="18"/>
        </w:rPr>
        <w:t xml:space="preserve"> </w:t>
      </w:r>
      <w:r>
        <w:rPr>
          <w:rFonts w:ascii="Verdana" w:hAnsi="Verdana"/>
          <w:b/>
          <w:sz w:val="18"/>
          <w:szCs w:val="18"/>
        </w:rPr>
        <w:t xml:space="preserve">O cenário começa com o estabelecimento do Federal Bank of Atlantis (FBA), banco internacional bem conhecido, bem estabelecido e respeitado. Uma descrição como esta deve levar os formandos a concluir que este tipo de banco não deve estar envolvido em qualquer tipo de problema, muito menos aqueles semelhantes aos que serão descritos mais à frente neste documento. </w:t>
      </w:r>
    </w:p>
    <w:p w:rsidR="00983120" w:rsidRPr="005A3F39" w:rsidRDefault="00983120" w:rsidP="005A3F39">
      <w:pPr>
        <w:spacing w:after="0" w:line="260" w:lineRule="atLeast"/>
        <w:jc w:val="both"/>
        <w:rPr>
          <w:rFonts w:ascii="Verdana" w:hAnsi="Verdana" w:cstheme="minorHAnsi"/>
          <w:b/>
          <w:sz w:val="18"/>
          <w:szCs w:val="18"/>
        </w:rPr>
      </w:pPr>
    </w:p>
    <w:p w:rsidR="00F72A93" w:rsidRPr="005A3F39" w:rsidRDefault="00D73FE9" w:rsidP="005A3F39">
      <w:pPr>
        <w:spacing w:after="0" w:line="260" w:lineRule="atLeast"/>
        <w:jc w:val="both"/>
        <w:rPr>
          <w:rFonts w:ascii="Verdana" w:hAnsi="Verdana" w:cstheme="minorHAnsi"/>
          <w:sz w:val="18"/>
          <w:szCs w:val="18"/>
        </w:rPr>
      </w:pPr>
      <w:r>
        <w:rPr>
          <w:rFonts w:ascii="Verdana" w:hAnsi="Verdana"/>
          <w:sz w:val="18"/>
          <w:szCs w:val="18"/>
        </w:rPr>
        <w:t xml:space="preserve">Por outro lado, são exatamente estes bancos que são agora alvo regular de esquemas como este, possivelmente devido à sua relutância em ajustar os procedimentos de segurança empresarial para enfrentar os novos desafios que se impõem ou por causa de uma falsa sensação de segurança, importância e presença global. </w:t>
      </w:r>
    </w:p>
    <w:p w:rsidR="00B83A23" w:rsidRPr="005A3F39" w:rsidRDefault="00B83A23" w:rsidP="005A3F39">
      <w:pPr>
        <w:spacing w:after="0" w:line="260" w:lineRule="atLeast"/>
        <w:jc w:val="both"/>
        <w:rPr>
          <w:rFonts w:ascii="Verdana" w:hAnsi="Verdana" w:cstheme="minorHAnsi"/>
          <w:sz w:val="18"/>
          <w:szCs w:val="18"/>
        </w:rPr>
      </w:pPr>
    </w:p>
    <w:p w:rsidR="004C0C72" w:rsidRPr="005A3F39" w:rsidRDefault="007C71F6" w:rsidP="005A3F39">
      <w:pPr>
        <w:spacing w:after="0" w:line="260" w:lineRule="atLeast"/>
        <w:jc w:val="both"/>
        <w:rPr>
          <w:rFonts w:ascii="Verdana" w:hAnsi="Verdana" w:cstheme="minorHAnsi"/>
          <w:sz w:val="18"/>
          <w:szCs w:val="18"/>
        </w:rPr>
      </w:pPr>
      <w:r>
        <w:rPr>
          <w:rFonts w:ascii="Verdana" w:hAnsi="Verdana"/>
          <w:b/>
          <w:sz w:val="18"/>
          <w:szCs w:val="18"/>
        </w:rPr>
        <w:t>No final d</w:t>
      </w:r>
      <w:r w:rsidR="006D0B93">
        <w:rPr>
          <w:rFonts w:ascii="Verdana" w:hAnsi="Verdana"/>
          <w:b/>
          <w:sz w:val="18"/>
          <w:szCs w:val="18"/>
        </w:rPr>
        <w:t>o curso</w:t>
      </w:r>
      <w:r>
        <w:rPr>
          <w:rFonts w:ascii="Verdana" w:hAnsi="Verdana"/>
          <w:b/>
          <w:sz w:val="18"/>
          <w:szCs w:val="18"/>
        </w:rPr>
        <w:t xml:space="preserve">, os formandos deverão ter noção que até bancos ou instituições financeiras como estas podem ser alvo e vítima de fraudes. </w:t>
      </w:r>
      <w:r>
        <w:rPr>
          <w:rFonts w:ascii="Verdana" w:hAnsi="Verdana"/>
          <w:sz w:val="18"/>
          <w:szCs w:val="18"/>
        </w:rPr>
        <w:t>Além disso, neste caso, a investigação em desenvolvimento irá revelar que o caso de BEC é cometido com a influência adicional de uma ameaça persistente avançada (Advanced Persistent Threat</w:t>
      </w:r>
      <w:r w:rsidR="00416707">
        <w:rPr>
          <w:rFonts w:ascii="Verdana" w:hAnsi="Verdana"/>
          <w:sz w:val="18"/>
          <w:szCs w:val="18"/>
        </w:rPr>
        <w:t xml:space="preserve"> - </w:t>
      </w:r>
      <w:r>
        <w:rPr>
          <w:rFonts w:ascii="Verdana" w:hAnsi="Verdana"/>
          <w:sz w:val="18"/>
          <w:szCs w:val="18"/>
        </w:rPr>
        <w:t xml:space="preserve">APT) e de engenharia social </w:t>
      </w:r>
      <w:r w:rsidR="00AA4258">
        <w:rPr>
          <w:rFonts w:ascii="Verdana" w:hAnsi="Verdana"/>
          <w:sz w:val="18"/>
          <w:szCs w:val="18"/>
        </w:rPr>
        <w:t>re</w:t>
      </w:r>
      <w:r>
        <w:rPr>
          <w:rFonts w:ascii="Verdana" w:hAnsi="Verdana"/>
          <w:sz w:val="18"/>
          <w:szCs w:val="18"/>
        </w:rPr>
        <w:t xml:space="preserve">versa, combinada com a utilização de criptomoedas. </w:t>
      </w:r>
    </w:p>
    <w:p w:rsidR="00B83A23" w:rsidRPr="005A3F39" w:rsidRDefault="00B83A23" w:rsidP="005A3F39">
      <w:pPr>
        <w:spacing w:after="0" w:line="260" w:lineRule="atLeast"/>
        <w:jc w:val="both"/>
        <w:rPr>
          <w:rFonts w:ascii="Verdana" w:hAnsi="Verdana" w:cstheme="minorHAnsi"/>
          <w:sz w:val="18"/>
          <w:szCs w:val="18"/>
        </w:rPr>
      </w:pPr>
    </w:p>
    <w:p w:rsidR="00D73FE9" w:rsidRPr="00035860" w:rsidRDefault="004A7EDF" w:rsidP="005A3F39">
      <w:pPr>
        <w:spacing w:after="0" w:line="260" w:lineRule="atLeast"/>
        <w:jc w:val="both"/>
        <w:rPr>
          <w:rFonts w:ascii="Verdana" w:hAnsi="Verdana" w:cstheme="minorHAnsi"/>
          <w:sz w:val="18"/>
          <w:szCs w:val="18"/>
        </w:rPr>
      </w:pPr>
      <w:r>
        <w:rPr>
          <w:rStyle w:val="normaltextrun"/>
          <w:rFonts w:ascii="Verdana" w:hAnsi="Verdana"/>
          <w:i/>
          <w:sz w:val="18"/>
          <w:szCs w:val="18"/>
        </w:rPr>
        <w:t>Nota aos formadores</w:t>
      </w:r>
      <w:r>
        <w:rPr>
          <w:rStyle w:val="normaltextrun"/>
          <w:rFonts w:ascii="Verdana" w:hAnsi="Verdana"/>
          <w:sz w:val="18"/>
          <w:szCs w:val="18"/>
        </w:rPr>
        <w:t xml:space="preserve">: </w:t>
      </w:r>
      <w:r>
        <w:rPr>
          <w:rFonts w:ascii="Verdana" w:hAnsi="Verdana"/>
          <w:b/>
          <w:sz w:val="18"/>
          <w:szCs w:val="18"/>
        </w:rPr>
        <w:t>a ideia por detrás deste exercício é reforçar a abordagem jurídica investigativa que deve levar os formandos a</w:t>
      </w:r>
      <w:r w:rsidR="00416707">
        <w:rPr>
          <w:rFonts w:ascii="Verdana" w:hAnsi="Verdana"/>
          <w:b/>
          <w:sz w:val="18"/>
          <w:szCs w:val="18"/>
        </w:rPr>
        <w:t xml:space="preserve"> um</w:t>
      </w:r>
      <w:r>
        <w:rPr>
          <w:rFonts w:ascii="Verdana" w:hAnsi="Verdana"/>
          <w:b/>
          <w:sz w:val="18"/>
          <w:szCs w:val="18"/>
        </w:rPr>
        <w:t xml:space="preserve"> processo</w:t>
      </w:r>
      <w:r w:rsidR="00416707">
        <w:rPr>
          <w:rFonts w:ascii="Verdana" w:hAnsi="Verdana"/>
          <w:b/>
          <w:sz w:val="18"/>
          <w:szCs w:val="18"/>
        </w:rPr>
        <w:t>,</w:t>
      </w:r>
      <w:r>
        <w:rPr>
          <w:rFonts w:ascii="Verdana" w:hAnsi="Verdana"/>
          <w:b/>
          <w:sz w:val="18"/>
          <w:szCs w:val="18"/>
        </w:rPr>
        <w:t xml:space="preserve"> passo a passo</w:t>
      </w:r>
      <w:r w:rsidR="00416707">
        <w:rPr>
          <w:rFonts w:ascii="Verdana" w:hAnsi="Verdana"/>
          <w:b/>
          <w:sz w:val="18"/>
          <w:szCs w:val="18"/>
        </w:rPr>
        <w:t>,</w:t>
      </w:r>
      <w:r>
        <w:rPr>
          <w:rFonts w:ascii="Verdana" w:hAnsi="Verdana"/>
          <w:b/>
          <w:sz w:val="18"/>
          <w:szCs w:val="18"/>
        </w:rPr>
        <w:t xml:space="preserve"> de utilização das ferramentas legais que têm à sua disposição</w:t>
      </w:r>
      <w:r w:rsidR="00416707">
        <w:rPr>
          <w:rFonts w:ascii="Verdana" w:hAnsi="Verdana"/>
          <w:b/>
          <w:sz w:val="18"/>
          <w:szCs w:val="18"/>
        </w:rPr>
        <w:t>,</w:t>
      </w:r>
      <w:r>
        <w:rPr>
          <w:rFonts w:ascii="Verdana" w:hAnsi="Verdana"/>
          <w:b/>
          <w:sz w:val="18"/>
          <w:szCs w:val="18"/>
        </w:rPr>
        <w:t xml:space="preserve"> para realizar uma investigação quase real e </w:t>
      </w:r>
      <w:r w:rsidR="00AA4258">
        <w:rPr>
          <w:rFonts w:ascii="Verdana" w:hAnsi="Verdana"/>
          <w:b/>
          <w:sz w:val="18"/>
          <w:szCs w:val="18"/>
        </w:rPr>
        <w:t xml:space="preserve">organizar </w:t>
      </w:r>
      <w:r>
        <w:rPr>
          <w:rFonts w:ascii="Verdana" w:hAnsi="Verdana"/>
          <w:b/>
          <w:sz w:val="18"/>
          <w:szCs w:val="18"/>
        </w:rPr>
        <w:t xml:space="preserve">um </w:t>
      </w:r>
      <w:r w:rsidR="00AA4258">
        <w:rPr>
          <w:rFonts w:ascii="Verdana" w:hAnsi="Verdana"/>
          <w:b/>
          <w:sz w:val="18"/>
          <w:szCs w:val="18"/>
        </w:rPr>
        <w:t>processo</w:t>
      </w:r>
      <w:r>
        <w:rPr>
          <w:rFonts w:ascii="Verdana" w:hAnsi="Verdana"/>
          <w:b/>
          <w:sz w:val="18"/>
          <w:szCs w:val="18"/>
        </w:rPr>
        <w:t xml:space="preserve"> criminal. </w:t>
      </w:r>
      <w:r>
        <w:rPr>
          <w:rFonts w:ascii="Verdana" w:hAnsi="Verdana"/>
          <w:sz w:val="18"/>
          <w:szCs w:val="18"/>
        </w:rPr>
        <w:t xml:space="preserve">Este exercício é uma combinação de artigos da Convenção de Budapeste e de disposições legais nacionais que lhes permitirão resolver com sucesso o caso desde a fase de investigação, passando pelo processo de acusação e terminando no julgamento e na </w:t>
      </w:r>
      <w:r w:rsidR="00857569">
        <w:rPr>
          <w:rFonts w:ascii="Verdana" w:hAnsi="Verdana"/>
          <w:sz w:val="18"/>
          <w:szCs w:val="18"/>
        </w:rPr>
        <w:t xml:space="preserve">condenação </w:t>
      </w:r>
      <w:r>
        <w:rPr>
          <w:rFonts w:ascii="Verdana" w:hAnsi="Verdana"/>
          <w:sz w:val="18"/>
          <w:szCs w:val="18"/>
        </w:rPr>
        <w:t>final. Isto inclui também alguns passos importantes que podem e devem ser tomados no processo de MLA em conformidade com a Convenção.</w:t>
      </w:r>
    </w:p>
    <w:p w:rsidR="00B83A23" w:rsidRPr="005A3F39" w:rsidRDefault="00B83A23" w:rsidP="005A3F39">
      <w:pPr>
        <w:spacing w:after="0" w:line="260" w:lineRule="atLeast"/>
        <w:jc w:val="both"/>
        <w:rPr>
          <w:rFonts w:ascii="Verdana" w:hAnsi="Verdana" w:cstheme="minorHAnsi"/>
          <w:b/>
          <w:sz w:val="18"/>
          <w:szCs w:val="18"/>
        </w:rPr>
      </w:pPr>
    </w:p>
    <w:p w:rsidR="00DF3F9A" w:rsidRPr="005A3F39" w:rsidRDefault="001E3C8A" w:rsidP="005A3F39">
      <w:pPr>
        <w:spacing w:after="0" w:line="260" w:lineRule="atLeast"/>
        <w:jc w:val="both"/>
        <w:rPr>
          <w:rFonts w:ascii="Verdana" w:hAnsi="Verdana" w:cstheme="minorHAnsi"/>
          <w:sz w:val="18"/>
          <w:szCs w:val="18"/>
        </w:rPr>
      </w:pPr>
      <w:r>
        <w:rPr>
          <w:rFonts w:ascii="Verdana" w:hAnsi="Verdana"/>
          <w:sz w:val="18"/>
          <w:szCs w:val="18"/>
        </w:rPr>
        <w:t>Para est</w:t>
      </w:r>
      <w:r w:rsidR="00AA4258">
        <w:rPr>
          <w:rFonts w:ascii="Verdana" w:hAnsi="Verdana"/>
          <w:sz w:val="18"/>
          <w:szCs w:val="18"/>
        </w:rPr>
        <w:t>e curso</w:t>
      </w:r>
      <w:r>
        <w:rPr>
          <w:rFonts w:ascii="Verdana" w:hAnsi="Verdana"/>
          <w:sz w:val="18"/>
          <w:szCs w:val="18"/>
        </w:rPr>
        <w:t xml:space="preserve"> foram criados países fictícios. São eles Atlantis, Norland, Ostland, Westland e outros</w:t>
      </w:r>
      <w:r>
        <w:rPr>
          <w:rFonts w:ascii="Verdana" w:hAnsi="Verdana"/>
          <w:b/>
          <w:sz w:val="18"/>
          <w:szCs w:val="18"/>
        </w:rPr>
        <w:t>. Para a preparação do exercício, todos eles ratificaram a Convenção do Conselho Europeu sobre Cibercrime ("Convenção de Budapeste").</w:t>
      </w:r>
      <w:r>
        <w:rPr>
          <w:rFonts w:ascii="Verdana" w:hAnsi="Verdana"/>
          <w:sz w:val="18"/>
          <w:szCs w:val="18"/>
        </w:rPr>
        <w:t xml:space="preserve"> Esta abordagem deverá permitir a transferência d</w:t>
      </w:r>
      <w:r w:rsidR="00AA4258">
        <w:rPr>
          <w:rFonts w:ascii="Verdana" w:hAnsi="Verdana"/>
          <w:sz w:val="18"/>
          <w:szCs w:val="18"/>
        </w:rPr>
        <w:t>o curso e do material de</w:t>
      </w:r>
      <w:r>
        <w:rPr>
          <w:rFonts w:ascii="Verdana" w:hAnsi="Verdana"/>
          <w:sz w:val="18"/>
          <w:szCs w:val="18"/>
        </w:rPr>
        <w:t xml:space="preserve"> formação entre jurisdições, sem a necessidade de alterações significativas aos materiais do curso ao longo do tempo.</w:t>
      </w:r>
    </w:p>
    <w:p w:rsidR="00B83A23" w:rsidRPr="005A3F39" w:rsidRDefault="00B83A23" w:rsidP="005A3F39">
      <w:pPr>
        <w:spacing w:after="0" w:line="260" w:lineRule="atLeast"/>
        <w:jc w:val="both"/>
        <w:rPr>
          <w:rFonts w:ascii="Verdana" w:hAnsi="Verdana" w:cstheme="minorHAnsi"/>
          <w:sz w:val="18"/>
          <w:szCs w:val="18"/>
        </w:rPr>
      </w:pPr>
    </w:p>
    <w:p w:rsidR="00F72A93" w:rsidRDefault="00F72A93" w:rsidP="005A3F39">
      <w:pPr>
        <w:pStyle w:val="paragraph"/>
        <w:spacing w:before="0" w:beforeAutospacing="0" w:after="0" w:afterAutospacing="0" w:line="260" w:lineRule="atLeast"/>
        <w:jc w:val="both"/>
        <w:rPr>
          <w:rFonts w:ascii="Verdana" w:hAnsi="Verdana" w:cstheme="minorHAnsi"/>
          <w:b/>
          <w:sz w:val="18"/>
          <w:szCs w:val="18"/>
        </w:rPr>
      </w:pPr>
      <w:r>
        <w:rPr>
          <w:rFonts w:ascii="Verdana" w:hAnsi="Verdana"/>
          <w:i/>
          <w:sz w:val="18"/>
          <w:szCs w:val="18"/>
        </w:rPr>
        <w:t xml:space="preserve">Nota aos formadores: </w:t>
      </w:r>
      <w:r>
        <w:rPr>
          <w:rFonts w:ascii="Verdana" w:hAnsi="Verdana"/>
          <w:b/>
          <w:sz w:val="18"/>
          <w:szCs w:val="18"/>
        </w:rPr>
        <w:t xml:space="preserve">No final desta sessão, os </w:t>
      </w:r>
      <w:r w:rsidR="00857569">
        <w:rPr>
          <w:rFonts w:ascii="Verdana" w:hAnsi="Verdana"/>
          <w:b/>
          <w:sz w:val="18"/>
          <w:szCs w:val="18"/>
        </w:rPr>
        <w:t xml:space="preserve">formandos </w:t>
      </w:r>
      <w:r>
        <w:rPr>
          <w:rFonts w:ascii="Verdana" w:hAnsi="Verdana"/>
          <w:b/>
          <w:sz w:val="18"/>
          <w:szCs w:val="18"/>
        </w:rPr>
        <w:t>deverão ser capazes de:</w:t>
      </w:r>
    </w:p>
    <w:p w:rsidR="00035860" w:rsidRPr="005A3F39" w:rsidRDefault="00035860" w:rsidP="005A3F39">
      <w:pPr>
        <w:pStyle w:val="paragraph"/>
        <w:spacing w:before="0" w:beforeAutospacing="0" w:after="0" w:afterAutospacing="0" w:line="260" w:lineRule="atLeast"/>
        <w:jc w:val="both"/>
        <w:rPr>
          <w:rFonts w:ascii="Verdana" w:hAnsi="Verdana" w:cstheme="minorHAnsi"/>
          <w:b/>
          <w:sz w:val="18"/>
          <w:szCs w:val="18"/>
        </w:rPr>
      </w:pPr>
    </w:p>
    <w:p w:rsidR="00F72A93" w:rsidRPr="005A3F39" w:rsidRDefault="00F72A93"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Pr>
          <w:rFonts w:ascii="Verdana" w:hAnsi="Verdana"/>
          <w:b/>
          <w:bCs/>
          <w:sz w:val="18"/>
          <w:szCs w:val="18"/>
        </w:rPr>
        <w:t xml:space="preserve">Identificar as pessoas </w:t>
      </w:r>
      <w:r w:rsidR="00AA4258">
        <w:rPr>
          <w:rFonts w:ascii="Verdana" w:hAnsi="Verdana"/>
          <w:b/>
          <w:bCs/>
          <w:sz w:val="18"/>
          <w:szCs w:val="18"/>
        </w:rPr>
        <w:t>singulares e coletivas</w:t>
      </w:r>
      <w:r>
        <w:rPr>
          <w:rFonts w:ascii="Verdana" w:hAnsi="Verdana"/>
          <w:b/>
          <w:bCs/>
          <w:sz w:val="18"/>
          <w:szCs w:val="18"/>
        </w:rPr>
        <w:t xml:space="preserve"> envolvidas no cenário</w:t>
      </w:r>
      <w:r>
        <w:rPr>
          <w:rFonts w:ascii="Verdana" w:hAnsi="Verdana"/>
          <w:b/>
          <w:sz w:val="18"/>
          <w:szCs w:val="18"/>
        </w:rPr>
        <w:t>;</w:t>
      </w:r>
    </w:p>
    <w:p w:rsidR="00F72A93" w:rsidRPr="005A3F39" w:rsidRDefault="00F72A93"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Pr>
          <w:rFonts w:ascii="Verdana" w:hAnsi="Verdana"/>
          <w:b/>
          <w:bCs/>
          <w:sz w:val="18"/>
          <w:szCs w:val="18"/>
        </w:rPr>
        <w:t xml:space="preserve">Explicar o </w:t>
      </w:r>
      <w:r>
        <w:rPr>
          <w:rFonts w:ascii="Verdana" w:hAnsi="Verdana"/>
          <w:b/>
          <w:bCs/>
          <w:i/>
          <w:sz w:val="18"/>
          <w:szCs w:val="18"/>
        </w:rPr>
        <w:t>layout</w:t>
      </w:r>
      <w:r>
        <w:rPr>
          <w:rFonts w:ascii="Verdana" w:hAnsi="Verdana"/>
          <w:b/>
          <w:bCs/>
          <w:sz w:val="18"/>
          <w:szCs w:val="18"/>
        </w:rPr>
        <w:t xml:space="preserve"> do caso e a situação dos factos introdutórios;</w:t>
      </w:r>
      <w:r>
        <w:rPr>
          <w:rFonts w:ascii="Verdana" w:hAnsi="Verdana"/>
          <w:b/>
          <w:sz w:val="18"/>
          <w:szCs w:val="18"/>
        </w:rPr>
        <w:t xml:space="preserve"> </w:t>
      </w:r>
    </w:p>
    <w:p w:rsidR="00F72A93" w:rsidRPr="005A3F39" w:rsidRDefault="00F72A93"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Pr>
          <w:rFonts w:ascii="Verdana" w:hAnsi="Verdana"/>
          <w:b/>
          <w:sz w:val="18"/>
          <w:szCs w:val="18"/>
        </w:rPr>
        <w:lastRenderedPageBreak/>
        <w:t xml:space="preserve">Seguir e explicar o fluxo e o desenvolvimento da investigação do caso; </w:t>
      </w:r>
    </w:p>
    <w:p w:rsidR="00F72A93" w:rsidRPr="005A3F39" w:rsidRDefault="00035860"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Pr>
          <w:rFonts w:ascii="Verdana" w:hAnsi="Verdana"/>
          <w:b/>
          <w:bCs/>
          <w:sz w:val="18"/>
          <w:szCs w:val="18"/>
        </w:rPr>
        <w:t>Determinar como e onde é que a investigação criminal deve começar e que vetores processuais devem ser seguidos.</w:t>
      </w:r>
    </w:p>
    <w:p w:rsidR="00321D54" w:rsidDel="00321D54" w:rsidRDefault="00321D54" w:rsidP="005A3F39">
      <w:pPr>
        <w:pStyle w:val="paragraph"/>
        <w:spacing w:before="0" w:beforeAutospacing="0" w:after="0" w:afterAutospacing="0" w:line="260" w:lineRule="atLeast"/>
        <w:jc w:val="both"/>
        <w:rPr>
          <w:rFonts w:ascii="Verdana" w:hAnsi="Verdana" w:cstheme="minorHAnsi"/>
          <w:b/>
          <w:sz w:val="18"/>
          <w:szCs w:val="18"/>
        </w:rPr>
      </w:pPr>
    </w:p>
    <w:p w:rsidR="005A3F39" w:rsidRDefault="005A3F39" w:rsidP="005A3F39">
      <w:pPr>
        <w:spacing w:after="0" w:line="260" w:lineRule="atLeast"/>
        <w:jc w:val="both"/>
        <w:rPr>
          <w:rFonts w:ascii="Verdana" w:hAnsi="Verdana" w:cstheme="minorHAnsi"/>
          <w:b/>
          <w:sz w:val="24"/>
          <w:szCs w:val="24"/>
        </w:rPr>
      </w:pPr>
    </w:p>
    <w:p w:rsidR="00330F7F" w:rsidRDefault="00F43D7D" w:rsidP="005A3F39">
      <w:pPr>
        <w:spacing w:after="0" w:line="260" w:lineRule="atLeast"/>
        <w:jc w:val="both"/>
        <w:rPr>
          <w:rFonts w:ascii="Verdana" w:hAnsi="Verdana" w:cstheme="minorHAnsi"/>
          <w:b/>
          <w:sz w:val="24"/>
          <w:szCs w:val="24"/>
        </w:rPr>
      </w:pPr>
      <w:r>
        <w:rPr>
          <w:rFonts w:ascii="Verdana" w:hAnsi="Verdana"/>
          <w:b/>
          <w:sz w:val="24"/>
          <w:szCs w:val="24"/>
        </w:rPr>
        <w:t>2. Investigação</w:t>
      </w:r>
    </w:p>
    <w:p w:rsidR="005A3F39" w:rsidRPr="005A3F39" w:rsidRDefault="005A3F39" w:rsidP="005A3F39">
      <w:pPr>
        <w:spacing w:after="0" w:line="260" w:lineRule="atLeast"/>
        <w:jc w:val="both"/>
        <w:rPr>
          <w:rFonts w:ascii="Verdana" w:hAnsi="Verdana" w:cstheme="minorHAnsi"/>
          <w:b/>
          <w:sz w:val="24"/>
          <w:szCs w:val="24"/>
        </w:rPr>
      </w:pPr>
    </w:p>
    <w:p w:rsidR="008D5A40" w:rsidRDefault="00F43D7D" w:rsidP="005A3F39">
      <w:pPr>
        <w:spacing w:after="0" w:line="260" w:lineRule="atLeast"/>
        <w:jc w:val="both"/>
        <w:rPr>
          <w:rFonts w:ascii="Verdana" w:hAnsi="Verdana" w:cstheme="minorHAnsi"/>
          <w:b/>
          <w:sz w:val="18"/>
          <w:szCs w:val="18"/>
        </w:rPr>
      </w:pPr>
      <w:r>
        <w:rPr>
          <w:rFonts w:ascii="Verdana" w:hAnsi="Verdana"/>
          <w:b/>
          <w:sz w:val="18"/>
          <w:szCs w:val="18"/>
        </w:rPr>
        <w:t>2.1 Estabelecimento dos factos iniciais</w:t>
      </w:r>
    </w:p>
    <w:p w:rsidR="00035860" w:rsidRPr="005A3F39" w:rsidRDefault="00035860" w:rsidP="005A3F39">
      <w:pPr>
        <w:spacing w:after="0" w:line="260" w:lineRule="atLeast"/>
        <w:jc w:val="both"/>
        <w:rPr>
          <w:rFonts w:ascii="Verdana" w:hAnsi="Verdana" w:cstheme="minorHAnsi"/>
          <w:sz w:val="18"/>
          <w:szCs w:val="18"/>
        </w:rPr>
      </w:pPr>
    </w:p>
    <w:p w:rsidR="00C948B3" w:rsidRPr="005A3F39" w:rsidRDefault="00813B26" w:rsidP="005A3F39">
      <w:pPr>
        <w:spacing w:after="0" w:line="260" w:lineRule="atLeast"/>
        <w:jc w:val="both"/>
        <w:rPr>
          <w:rFonts w:ascii="Verdana" w:hAnsi="Verdana" w:cstheme="minorHAnsi"/>
          <w:i/>
          <w:sz w:val="18"/>
          <w:szCs w:val="18"/>
        </w:rPr>
      </w:pPr>
      <w:r>
        <w:rPr>
          <w:rFonts w:ascii="Verdana" w:hAnsi="Verdana"/>
          <w:sz w:val="18"/>
          <w:szCs w:val="18"/>
        </w:rPr>
        <w:t xml:space="preserve"> "</w:t>
      </w:r>
      <w:r>
        <w:rPr>
          <w:rFonts w:ascii="Verdana" w:hAnsi="Verdana"/>
          <w:i/>
          <w:sz w:val="18"/>
          <w:szCs w:val="18"/>
        </w:rPr>
        <w:t xml:space="preserve">O Federal Bank of Atlantis (FBA) é um banco conhecido, bem-sucedido e fiável sedeado na Europa. Tem várias filiais e unidades localizadas em diferentes países, não só na Europa, </w:t>
      </w:r>
      <w:r w:rsidR="00857569">
        <w:rPr>
          <w:rFonts w:ascii="Verdana" w:hAnsi="Verdana"/>
          <w:i/>
          <w:sz w:val="18"/>
          <w:szCs w:val="18"/>
        </w:rPr>
        <w:t>como</w:t>
      </w:r>
      <w:r>
        <w:rPr>
          <w:rFonts w:ascii="Verdana" w:hAnsi="Verdana"/>
          <w:i/>
          <w:sz w:val="18"/>
          <w:szCs w:val="18"/>
        </w:rPr>
        <w:t xml:space="preserve"> </w:t>
      </w:r>
      <w:r w:rsidR="005F5505">
        <w:rPr>
          <w:rFonts w:ascii="Verdana" w:hAnsi="Verdana"/>
          <w:i/>
          <w:sz w:val="18"/>
          <w:szCs w:val="18"/>
        </w:rPr>
        <w:t xml:space="preserve">também </w:t>
      </w:r>
      <w:r>
        <w:rPr>
          <w:rFonts w:ascii="Verdana" w:hAnsi="Verdana"/>
          <w:i/>
          <w:sz w:val="18"/>
          <w:szCs w:val="18"/>
        </w:rPr>
        <w:t xml:space="preserve">no resto do mundo. As suas atividades bancárias e comerciais são conhecidas pela sua reputação conceituada e fiabilidade. Parece que, devido às suas políticas, o banco está a atrair mais clientes do que a concorrência, estando estes a abrir novas contas bancárias e a utilizar outros produtos bancários. </w:t>
      </w:r>
    </w:p>
    <w:p w:rsidR="00B83A23" w:rsidRPr="005A3F39" w:rsidRDefault="00B83A23" w:rsidP="005A3F39">
      <w:pPr>
        <w:spacing w:after="0" w:line="260" w:lineRule="atLeast"/>
        <w:jc w:val="both"/>
        <w:rPr>
          <w:rFonts w:ascii="Verdana" w:hAnsi="Verdana" w:cstheme="minorHAnsi"/>
          <w:i/>
          <w:sz w:val="18"/>
          <w:szCs w:val="18"/>
        </w:rPr>
      </w:pPr>
    </w:p>
    <w:p w:rsidR="00C948B3" w:rsidRPr="005A3F39" w:rsidRDefault="00C700EF" w:rsidP="005A3F39">
      <w:pPr>
        <w:spacing w:after="0" w:line="260" w:lineRule="atLeast"/>
        <w:jc w:val="both"/>
        <w:rPr>
          <w:rFonts w:ascii="Verdana" w:hAnsi="Verdana" w:cstheme="minorHAnsi"/>
          <w:i/>
          <w:sz w:val="18"/>
          <w:szCs w:val="18"/>
        </w:rPr>
      </w:pPr>
      <w:r>
        <w:rPr>
          <w:rFonts w:ascii="Verdana" w:hAnsi="Verdana"/>
          <w:i/>
          <w:sz w:val="18"/>
          <w:szCs w:val="18"/>
        </w:rPr>
        <w:t xml:space="preserve">O Conselho de Administração do FBA decidiu emitir um bónus especial de aniversário para marcar os seus 100 anos de existência e operações de sucesso. O Conselho </w:t>
      </w:r>
      <w:r w:rsidR="00857569">
        <w:rPr>
          <w:rFonts w:ascii="Verdana" w:hAnsi="Verdana"/>
          <w:i/>
          <w:sz w:val="18"/>
          <w:szCs w:val="18"/>
        </w:rPr>
        <w:t xml:space="preserve">de Administração </w:t>
      </w:r>
      <w:r>
        <w:rPr>
          <w:rFonts w:ascii="Verdana" w:hAnsi="Verdana"/>
          <w:i/>
          <w:sz w:val="18"/>
          <w:szCs w:val="18"/>
        </w:rPr>
        <w:t xml:space="preserve">encarregou o Departamento de Logística e Operações (Department for Logistics and Operations, DLO) de preparar tudo o que </w:t>
      </w:r>
      <w:r w:rsidR="00857569">
        <w:rPr>
          <w:rFonts w:ascii="Verdana" w:hAnsi="Verdana"/>
          <w:i/>
          <w:sz w:val="18"/>
          <w:szCs w:val="18"/>
        </w:rPr>
        <w:t>fosse</w:t>
      </w:r>
      <w:r>
        <w:rPr>
          <w:rFonts w:ascii="Verdana" w:hAnsi="Verdana"/>
          <w:i/>
          <w:sz w:val="18"/>
          <w:szCs w:val="18"/>
        </w:rPr>
        <w:t xml:space="preserve"> necessário para a impressão de bónus, incluindo encontrar um parceiro adequado para fornecer todos os elementos de impressão necessários. </w:t>
      </w:r>
    </w:p>
    <w:p w:rsidR="00B83A23" w:rsidRPr="005A3F39" w:rsidRDefault="00B83A23" w:rsidP="005A3F39">
      <w:pPr>
        <w:spacing w:after="0" w:line="260" w:lineRule="atLeast"/>
        <w:jc w:val="both"/>
        <w:rPr>
          <w:rFonts w:ascii="Verdana" w:hAnsi="Verdana" w:cstheme="minorHAnsi"/>
          <w:i/>
          <w:sz w:val="18"/>
          <w:szCs w:val="18"/>
        </w:rPr>
      </w:pPr>
    </w:p>
    <w:p w:rsidR="00C700EF" w:rsidRPr="005A3F39" w:rsidRDefault="00C700EF" w:rsidP="005A3F39">
      <w:pPr>
        <w:spacing w:after="0" w:line="260" w:lineRule="atLeast"/>
        <w:jc w:val="both"/>
        <w:rPr>
          <w:rFonts w:ascii="Verdana" w:hAnsi="Verdana" w:cstheme="minorHAnsi"/>
          <w:i/>
          <w:sz w:val="18"/>
          <w:szCs w:val="18"/>
        </w:rPr>
      </w:pPr>
      <w:r>
        <w:rPr>
          <w:rFonts w:ascii="Verdana" w:hAnsi="Verdana"/>
          <w:i/>
          <w:sz w:val="18"/>
          <w:szCs w:val="18"/>
        </w:rPr>
        <w:t>O DLO identificou um parceiro muito conhecido nesta área</w:t>
      </w:r>
      <w:r w:rsidR="00857569">
        <w:rPr>
          <w:rFonts w:ascii="Verdana" w:hAnsi="Verdana"/>
          <w:i/>
          <w:sz w:val="18"/>
          <w:szCs w:val="18"/>
        </w:rPr>
        <w:t>,</w:t>
      </w:r>
      <w:r>
        <w:rPr>
          <w:rFonts w:ascii="Verdana" w:hAnsi="Verdana"/>
          <w:i/>
          <w:sz w:val="18"/>
          <w:szCs w:val="18"/>
        </w:rPr>
        <w:t xml:space="preserve"> </w:t>
      </w:r>
      <w:r w:rsidR="00857569">
        <w:rPr>
          <w:rFonts w:ascii="Verdana" w:hAnsi="Verdana"/>
          <w:i/>
          <w:sz w:val="18"/>
          <w:szCs w:val="18"/>
        </w:rPr>
        <w:t xml:space="preserve">do </w:t>
      </w:r>
      <w:r>
        <w:rPr>
          <w:rFonts w:ascii="Verdana" w:hAnsi="Verdana"/>
          <w:i/>
          <w:sz w:val="18"/>
          <w:szCs w:val="18"/>
        </w:rPr>
        <w:t>fornec</w:t>
      </w:r>
      <w:r w:rsidR="00857569">
        <w:rPr>
          <w:rFonts w:ascii="Verdana" w:hAnsi="Verdana"/>
          <w:i/>
          <w:sz w:val="18"/>
          <w:szCs w:val="18"/>
        </w:rPr>
        <w:t>imento de</w:t>
      </w:r>
      <w:r>
        <w:rPr>
          <w:rFonts w:ascii="Verdana" w:hAnsi="Verdana"/>
          <w:i/>
          <w:sz w:val="18"/>
          <w:szCs w:val="18"/>
        </w:rPr>
        <w:t xml:space="preserve"> produtos e serviços de impressão. O parceiro selecionado, a United Bank Printing (UBP) está sediado em Atlantis, tendo uma filial europeia sedeada em Nor</w:t>
      </w:r>
      <w:r w:rsidR="00857569">
        <w:rPr>
          <w:rFonts w:ascii="Verdana" w:hAnsi="Verdana"/>
          <w:i/>
          <w:sz w:val="18"/>
          <w:szCs w:val="18"/>
        </w:rPr>
        <w:t>d</w:t>
      </w:r>
      <w:r>
        <w:rPr>
          <w:rFonts w:ascii="Verdana" w:hAnsi="Verdana"/>
          <w:i/>
          <w:sz w:val="18"/>
          <w:szCs w:val="18"/>
        </w:rPr>
        <w:t>land. O DLO também comunicou internamente com o Departamento Financeiro do FBA".</w:t>
      </w:r>
    </w:p>
    <w:p w:rsidR="00B83A23" w:rsidRPr="005A3F39" w:rsidRDefault="00B83A23" w:rsidP="005A3F39">
      <w:pPr>
        <w:spacing w:after="0" w:line="260" w:lineRule="atLeast"/>
        <w:jc w:val="both"/>
        <w:rPr>
          <w:rFonts w:ascii="Verdana" w:hAnsi="Verdana" w:cstheme="minorHAnsi"/>
          <w:i/>
          <w:sz w:val="18"/>
          <w:szCs w:val="18"/>
        </w:rPr>
      </w:pPr>
    </w:p>
    <w:p w:rsidR="00DC702A" w:rsidRPr="005A3F39" w:rsidRDefault="00F94556" w:rsidP="005A3F39">
      <w:pPr>
        <w:spacing w:after="0" w:line="260" w:lineRule="atLeast"/>
        <w:jc w:val="both"/>
        <w:rPr>
          <w:rFonts w:ascii="Verdana" w:hAnsi="Verdana" w:cstheme="minorHAnsi"/>
          <w:sz w:val="18"/>
          <w:szCs w:val="18"/>
        </w:rPr>
      </w:pPr>
      <w:r>
        <w:rPr>
          <w:rFonts w:ascii="Verdana" w:hAnsi="Verdana"/>
          <w:b/>
          <w:sz w:val="18"/>
          <w:szCs w:val="18"/>
        </w:rPr>
        <w:t>Os principais factos são</w:t>
      </w:r>
      <w:r>
        <w:rPr>
          <w:rFonts w:ascii="Verdana" w:hAnsi="Verdana"/>
          <w:sz w:val="18"/>
          <w:szCs w:val="18"/>
        </w:rPr>
        <w:t>:</w:t>
      </w:r>
    </w:p>
    <w:p w:rsidR="00DC702A" w:rsidRPr="00035860" w:rsidRDefault="00DC702A" w:rsidP="00035860">
      <w:pPr>
        <w:pStyle w:val="ListParagraph"/>
        <w:numPr>
          <w:ilvl w:val="0"/>
          <w:numId w:val="10"/>
        </w:numPr>
        <w:spacing w:after="0" w:line="260" w:lineRule="atLeast"/>
        <w:jc w:val="both"/>
        <w:rPr>
          <w:rFonts w:ascii="Verdana" w:hAnsi="Verdana" w:cstheme="minorHAnsi"/>
          <w:sz w:val="18"/>
          <w:szCs w:val="18"/>
        </w:rPr>
      </w:pPr>
      <w:r>
        <w:rPr>
          <w:rFonts w:ascii="Verdana" w:hAnsi="Verdana"/>
          <w:sz w:val="18"/>
          <w:szCs w:val="18"/>
        </w:rPr>
        <w:t>O Federal Bank of Atlantis (FBA) é um banco conhecido, bem-sucedido e fiável;</w:t>
      </w:r>
    </w:p>
    <w:p w:rsidR="00DC702A" w:rsidRPr="00035860" w:rsidRDefault="004623E9" w:rsidP="00035860">
      <w:pPr>
        <w:pStyle w:val="ListParagraph"/>
        <w:numPr>
          <w:ilvl w:val="0"/>
          <w:numId w:val="10"/>
        </w:numPr>
        <w:spacing w:after="0" w:line="260" w:lineRule="atLeast"/>
        <w:jc w:val="both"/>
        <w:rPr>
          <w:rFonts w:ascii="Verdana" w:hAnsi="Verdana" w:cstheme="minorHAnsi"/>
          <w:sz w:val="18"/>
          <w:szCs w:val="18"/>
        </w:rPr>
      </w:pPr>
      <w:r>
        <w:rPr>
          <w:rFonts w:ascii="Verdana" w:hAnsi="Verdana"/>
          <w:sz w:val="18"/>
          <w:szCs w:val="18"/>
        </w:rPr>
        <w:t>O FBA quer emitir um bónus especial de aniversário;</w:t>
      </w:r>
    </w:p>
    <w:p w:rsidR="00DC702A" w:rsidRPr="00035860" w:rsidRDefault="00DC702A" w:rsidP="00035860">
      <w:pPr>
        <w:pStyle w:val="ListParagraph"/>
        <w:numPr>
          <w:ilvl w:val="0"/>
          <w:numId w:val="10"/>
        </w:numPr>
        <w:spacing w:after="0" w:line="260" w:lineRule="atLeast"/>
        <w:jc w:val="both"/>
        <w:rPr>
          <w:rFonts w:ascii="Verdana" w:hAnsi="Verdana" w:cstheme="minorHAnsi"/>
          <w:sz w:val="18"/>
          <w:szCs w:val="18"/>
        </w:rPr>
      </w:pPr>
      <w:r>
        <w:rPr>
          <w:rFonts w:ascii="Verdana" w:hAnsi="Verdana"/>
          <w:sz w:val="18"/>
          <w:szCs w:val="18"/>
        </w:rPr>
        <w:t>O Departamento de Logística e Operações (DLO) está encarregado da logística deste caso;</w:t>
      </w:r>
    </w:p>
    <w:p w:rsidR="00DC702A" w:rsidRPr="00035860" w:rsidRDefault="00DC702A" w:rsidP="00035860">
      <w:pPr>
        <w:pStyle w:val="ListParagraph"/>
        <w:numPr>
          <w:ilvl w:val="0"/>
          <w:numId w:val="10"/>
        </w:numPr>
        <w:spacing w:after="0" w:line="260" w:lineRule="atLeast"/>
        <w:jc w:val="both"/>
        <w:rPr>
          <w:rFonts w:ascii="Verdana" w:hAnsi="Verdana" w:cstheme="minorHAnsi"/>
          <w:sz w:val="18"/>
          <w:szCs w:val="18"/>
        </w:rPr>
      </w:pPr>
      <w:r>
        <w:rPr>
          <w:rFonts w:ascii="Verdana" w:hAnsi="Verdana"/>
          <w:sz w:val="18"/>
          <w:szCs w:val="18"/>
        </w:rPr>
        <w:t>A United Bank Printing (UBP) é um fornecedor de material de impressão;</w:t>
      </w:r>
    </w:p>
    <w:p w:rsidR="00DC702A" w:rsidRPr="00035860" w:rsidRDefault="008D5A40" w:rsidP="00035860">
      <w:pPr>
        <w:pStyle w:val="ListParagraph"/>
        <w:numPr>
          <w:ilvl w:val="0"/>
          <w:numId w:val="10"/>
        </w:numPr>
        <w:spacing w:after="0" w:line="260" w:lineRule="atLeast"/>
        <w:jc w:val="both"/>
        <w:rPr>
          <w:rFonts w:ascii="Verdana" w:hAnsi="Verdana" w:cstheme="minorHAnsi"/>
          <w:sz w:val="18"/>
          <w:szCs w:val="18"/>
        </w:rPr>
      </w:pPr>
      <w:r>
        <w:rPr>
          <w:rFonts w:ascii="Verdana" w:hAnsi="Verdana"/>
          <w:sz w:val="18"/>
          <w:szCs w:val="18"/>
        </w:rPr>
        <w:t>Inclusão do Departamento Financeiro do FBA por parte do DLO na logística do negócio.</w:t>
      </w:r>
    </w:p>
    <w:p w:rsidR="00B83A23" w:rsidRPr="005A3F39" w:rsidRDefault="00B83A23" w:rsidP="005A3F39">
      <w:pPr>
        <w:spacing w:after="0" w:line="260" w:lineRule="atLeast"/>
        <w:jc w:val="both"/>
        <w:rPr>
          <w:rFonts w:ascii="Verdana" w:hAnsi="Verdana" w:cstheme="minorHAnsi"/>
          <w:sz w:val="18"/>
          <w:szCs w:val="18"/>
        </w:rPr>
      </w:pPr>
    </w:p>
    <w:p w:rsidR="008D5A40" w:rsidRPr="003D689C" w:rsidRDefault="003D689C" w:rsidP="003D689C">
      <w:pPr>
        <w:spacing w:after="0" w:line="260" w:lineRule="atLeast"/>
        <w:jc w:val="both"/>
        <w:rPr>
          <w:rFonts w:ascii="Verdana" w:hAnsi="Verdana" w:cstheme="minorHAnsi"/>
          <w:b/>
          <w:sz w:val="18"/>
          <w:szCs w:val="18"/>
        </w:rPr>
      </w:pPr>
      <w:r>
        <w:rPr>
          <w:rFonts w:ascii="Verdana" w:hAnsi="Verdana"/>
          <w:i/>
          <w:sz w:val="18"/>
          <w:szCs w:val="18"/>
        </w:rPr>
        <w:t>Nota aos formadores:</w:t>
      </w:r>
      <w:r>
        <w:rPr>
          <w:rFonts w:ascii="Verdana" w:hAnsi="Verdana"/>
          <w:sz w:val="18"/>
          <w:szCs w:val="18"/>
        </w:rPr>
        <w:t xml:space="preserve"> </w:t>
      </w:r>
      <w:r>
        <w:rPr>
          <w:rFonts w:ascii="Verdana" w:hAnsi="Verdana"/>
          <w:b/>
          <w:sz w:val="18"/>
          <w:szCs w:val="18"/>
        </w:rPr>
        <w:t>Os formandos devem identificar os principais factos e as principais divisões e decisores, a fim de compreender o âmbito e a configuração do círculo de negócios no qual serão definidos mais detalhes sobre o caso.</w:t>
      </w:r>
    </w:p>
    <w:p w:rsidR="003D689C" w:rsidRPr="003D689C" w:rsidRDefault="003D689C" w:rsidP="003D689C">
      <w:pPr>
        <w:spacing w:after="0" w:line="260" w:lineRule="atLeast"/>
        <w:jc w:val="both"/>
        <w:rPr>
          <w:rFonts w:ascii="Verdana" w:hAnsi="Verdana" w:cstheme="minorHAnsi"/>
          <w:b/>
          <w:sz w:val="18"/>
          <w:szCs w:val="18"/>
        </w:rPr>
      </w:pPr>
    </w:p>
    <w:p w:rsidR="003D689C" w:rsidRDefault="003D689C" w:rsidP="003D689C">
      <w:pPr>
        <w:pStyle w:val="paragraph"/>
        <w:spacing w:before="0" w:beforeAutospacing="0" w:after="0" w:afterAutospacing="0" w:line="260" w:lineRule="atLeast"/>
        <w:jc w:val="both"/>
        <w:textAlignment w:val="baseline"/>
        <w:rPr>
          <w:rStyle w:val="eop"/>
          <w:rFonts w:asciiTheme="minorHAnsi" w:eastAsiaTheme="minorHAnsi" w:hAnsiTheme="minorHAnsi" w:cstheme="minorBidi"/>
          <w:sz w:val="22"/>
          <w:szCs w:val="22"/>
        </w:rPr>
      </w:pPr>
      <w:r>
        <w:rPr>
          <w:rStyle w:val="eop"/>
          <w:rFonts w:ascii="Verdana" w:hAnsi="Verdana"/>
          <w:b/>
          <w:sz w:val="18"/>
          <w:szCs w:val="18"/>
        </w:rPr>
        <w:t>Material a ser utilizado no estudo de caso</w:t>
      </w:r>
      <w:r>
        <w:rPr>
          <w:rStyle w:val="eop"/>
          <w:rFonts w:ascii="Verdana" w:hAnsi="Verdana"/>
          <w:sz w:val="18"/>
          <w:szCs w:val="18"/>
        </w:rPr>
        <w:t>:</w:t>
      </w:r>
    </w:p>
    <w:p w:rsidR="003D689C" w:rsidRPr="003D689C" w:rsidRDefault="003D689C" w:rsidP="003D689C">
      <w:pPr>
        <w:pStyle w:val="paragraph"/>
        <w:spacing w:before="0" w:beforeAutospacing="0" w:after="0" w:afterAutospacing="0" w:line="260" w:lineRule="atLeast"/>
        <w:jc w:val="both"/>
        <w:textAlignment w:val="baseline"/>
        <w:rPr>
          <w:rStyle w:val="eop"/>
        </w:rPr>
      </w:pPr>
    </w:p>
    <w:p w:rsidR="003D689C" w:rsidRPr="003D689C" w:rsidRDefault="003D689C" w:rsidP="003D689C">
      <w:pPr>
        <w:pStyle w:val="paragraph"/>
        <w:numPr>
          <w:ilvl w:val="0"/>
          <w:numId w:val="11"/>
        </w:numPr>
        <w:spacing w:before="0" w:beforeAutospacing="0" w:after="0" w:afterAutospacing="0" w:line="260" w:lineRule="atLeast"/>
        <w:ind w:left="0" w:firstLine="0"/>
        <w:jc w:val="both"/>
        <w:textAlignment w:val="baseline"/>
        <w:rPr>
          <w:rStyle w:val="eop"/>
        </w:rPr>
      </w:pPr>
      <w:r>
        <w:rPr>
          <w:rStyle w:val="eop"/>
          <w:rFonts w:ascii="Verdana" w:hAnsi="Verdana"/>
          <w:i/>
          <w:sz w:val="18"/>
          <w:szCs w:val="18"/>
        </w:rPr>
        <w:t>Pasta "Dia 2/2.2.2 Introdução ao exercício de investigação/Material introdutório"</w:t>
      </w:r>
      <w:r>
        <w:rPr>
          <w:rStyle w:val="eop"/>
          <w:rFonts w:ascii="Verdana" w:hAnsi="Verdana"/>
          <w:sz w:val="18"/>
          <w:szCs w:val="18"/>
        </w:rPr>
        <w:t xml:space="preserve">: </w:t>
      </w:r>
    </w:p>
    <w:p w:rsidR="003D689C" w:rsidRPr="003D689C" w:rsidRDefault="003D689C" w:rsidP="005471F2">
      <w:pPr>
        <w:pStyle w:val="paragraph"/>
        <w:numPr>
          <w:ilvl w:val="0"/>
          <w:numId w:val="16"/>
        </w:numPr>
        <w:spacing w:before="0" w:beforeAutospacing="0" w:after="0" w:afterAutospacing="0" w:line="260" w:lineRule="atLeast"/>
        <w:jc w:val="both"/>
        <w:textAlignment w:val="baseline"/>
        <w:rPr>
          <w:rStyle w:val="eop"/>
        </w:rPr>
      </w:pPr>
      <w:r>
        <w:rPr>
          <w:rStyle w:val="eop"/>
          <w:rFonts w:ascii="Verdana" w:hAnsi="Verdana"/>
          <w:sz w:val="18"/>
          <w:szCs w:val="18"/>
        </w:rPr>
        <w:t>Sinopse do estudo de caso;</w:t>
      </w:r>
    </w:p>
    <w:p w:rsidR="003D689C" w:rsidRPr="003D689C" w:rsidRDefault="00415427" w:rsidP="005471F2">
      <w:pPr>
        <w:pStyle w:val="paragraph"/>
        <w:numPr>
          <w:ilvl w:val="0"/>
          <w:numId w:val="16"/>
        </w:numPr>
        <w:spacing w:before="0" w:beforeAutospacing="0" w:after="0" w:afterAutospacing="0" w:line="260" w:lineRule="atLeast"/>
        <w:jc w:val="both"/>
        <w:textAlignment w:val="baseline"/>
        <w:rPr>
          <w:rStyle w:val="eop"/>
        </w:rPr>
      </w:pPr>
      <w:r>
        <w:rPr>
          <w:rStyle w:val="eop"/>
          <w:rFonts w:ascii="Verdana" w:hAnsi="Verdana"/>
          <w:sz w:val="18"/>
          <w:szCs w:val="18"/>
        </w:rPr>
        <w:t>Introdução à apresentação do estudo de caso e guia dos formadores para investigação do estudo de caso;</w:t>
      </w:r>
    </w:p>
    <w:p w:rsidR="00415427" w:rsidRPr="00415427" w:rsidRDefault="00415427" w:rsidP="00415427">
      <w:pPr>
        <w:pStyle w:val="paragraph"/>
        <w:spacing w:before="0" w:beforeAutospacing="0" w:after="0" w:afterAutospacing="0" w:line="260" w:lineRule="atLeast"/>
        <w:jc w:val="both"/>
        <w:textAlignment w:val="baseline"/>
        <w:rPr>
          <w:rStyle w:val="eop"/>
        </w:rPr>
      </w:pPr>
    </w:p>
    <w:p w:rsidR="003D689C" w:rsidRPr="003D689C" w:rsidRDefault="00415427" w:rsidP="003D689C">
      <w:pPr>
        <w:pStyle w:val="paragraph"/>
        <w:numPr>
          <w:ilvl w:val="0"/>
          <w:numId w:val="11"/>
        </w:numPr>
        <w:spacing w:before="0" w:beforeAutospacing="0" w:after="0" w:afterAutospacing="0" w:line="260" w:lineRule="atLeast"/>
        <w:ind w:left="0" w:firstLine="0"/>
        <w:jc w:val="both"/>
        <w:textAlignment w:val="baseline"/>
        <w:rPr>
          <w:rStyle w:val="eop"/>
        </w:rPr>
      </w:pPr>
      <w:r>
        <w:rPr>
          <w:rStyle w:val="eop"/>
          <w:rFonts w:ascii="Verdana" w:hAnsi="Verdana"/>
          <w:i/>
          <w:sz w:val="18"/>
          <w:szCs w:val="18"/>
        </w:rPr>
        <w:t>Pasta "Dia 2/2.2.3 Exercício de investigação/Provas/Perfis":</w:t>
      </w:r>
    </w:p>
    <w:p w:rsidR="003D689C" w:rsidRPr="003D689C" w:rsidRDefault="003D689C" w:rsidP="005471F2">
      <w:pPr>
        <w:pStyle w:val="paragraph"/>
        <w:numPr>
          <w:ilvl w:val="0"/>
          <w:numId w:val="17"/>
        </w:numPr>
        <w:spacing w:before="0" w:beforeAutospacing="0" w:after="0" w:afterAutospacing="0" w:line="260" w:lineRule="atLeast"/>
        <w:jc w:val="both"/>
        <w:textAlignment w:val="baseline"/>
        <w:rPr>
          <w:rStyle w:val="normaltextrun"/>
        </w:rPr>
      </w:pPr>
      <w:r>
        <w:rPr>
          <w:rStyle w:val="normaltextrun"/>
          <w:rFonts w:ascii="Verdana" w:hAnsi="Verdana"/>
          <w:sz w:val="18"/>
          <w:szCs w:val="18"/>
        </w:rPr>
        <w:t>Perfil empresarial do Federal Bank of Atlantis;</w:t>
      </w:r>
    </w:p>
    <w:p w:rsidR="003D689C" w:rsidRPr="003D689C" w:rsidRDefault="003D689C" w:rsidP="005471F2">
      <w:pPr>
        <w:pStyle w:val="paragraph"/>
        <w:numPr>
          <w:ilvl w:val="0"/>
          <w:numId w:val="17"/>
        </w:numPr>
        <w:spacing w:before="0" w:beforeAutospacing="0" w:after="0" w:afterAutospacing="0" w:line="260" w:lineRule="atLeast"/>
        <w:jc w:val="both"/>
        <w:textAlignment w:val="baseline"/>
        <w:rPr>
          <w:rStyle w:val="normaltextrun"/>
        </w:rPr>
      </w:pPr>
      <w:r>
        <w:rPr>
          <w:rStyle w:val="normaltextrun"/>
          <w:rFonts w:ascii="Verdana" w:hAnsi="Verdana"/>
          <w:sz w:val="18"/>
          <w:szCs w:val="18"/>
        </w:rPr>
        <w:t>Perfil empresarial da United Bank Printing;</w:t>
      </w:r>
    </w:p>
    <w:p w:rsidR="003D689C" w:rsidRPr="007E06A8" w:rsidRDefault="003D689C" w:rsidP="005471F2">
      <w:pPr>
        <w:pStyle w:val="paragraph"/>
        <w:numPr>
          <w:ilvl w:val="0"/>
          <w:numId w:val="17"/>
        </w:numPr>
        <w:spacing w:before="0" w:beforeAutospacing="0" w:after="0" w:afterAutospacing="0" w:line="260" w:lineRule="atLeast"/>
        <w:jc w:val="both"/>
        <w:textAlignment w:val="baseline"/>
        <w:rPr>
          <w:rStyle w:val="normaltextrun"/>
          <w:lang w:val="en-GB"/>
        </w:rPr>
      </w:pPr>
      <w:proofErr w:type="spellStart"/>
      <w:r w:rsidRPr="000336BF">
        <w:rPr>
          <w:rStyle w:val="normaltextrun"/>
          <w:rFonts w:ascii="Verdana" w:hAnsi="Verdana"/>
          <w:sz w:val="18"/>
          <w:szCs w:val="18"/>
          <w:lang w:val="en-GB"/>
        </w:rPr>
        <w:t>Perfil</w:t>
      </w:r>
      <w:proofErr w:type="spellEnd"/>
      <w:r w:rsidRPr="000336BF">
        <w:rPr>
          <w:rStyle w:val="normaltextrun"/>
          <w:rFonts w:ascii="Verdana" w:hAnsi="Verdana"/>
          <w:sz w:val="18"/>
          <w:szCs w:val="18"/>
          <w:lang w:val="en-GB"/>
        </w:rPr>
        <w:t xml:space="preserve"> </w:t>
      </w:r>
      <w:proofErr w:type="spellStart"/>
      <w:r w:rsidRPr="000336BF">
        <w:rPr>
          <w:rStyle w:val="normaltextrun"/>
          <w:rFonts w:ascii="Verdana" w:hAnsi="Verdana"/>
          <w:sz w:val="18"/>
          <w:szCs w:val="18"/>
          <w:lang w:val="en-GB"/>
        </w:rPr>
        <w:t>empresarial</w:t>
      </w:r>
      <w:proofErr w:type="spellEnd"/>
      <w:r w:rsidRPr="000336BF">
        <w:rPr>
          <w:rStyle w:val="normaltextrun"/>
          <w:rFonts w:ascii="Verdana" w:hAnsi="Verdana"/>
          <w:sz w:val="18"/>
          <w:szCs w:val="18"/>
          <w:lang w:val="en-GB"/>
        </w:rPr>
        <w:t xml:space="preserve"> do Docklands Security Bank of Norland.</w:t>
      </w:r>
    </w:p>
    <w:p w:rsidR="001E510B" w:rsidRPr="007E06A8" w:rsidRDefault="001E510B" w:rsidP="001E510B">
      <w:pPr>
        <w:pStyle w:val="paragraph"/>
        <w:spacing w:before="0" w:beforeAutospacing="0" w:after="0" w:afterAutospacing="0" w:line="260" w:lineRule="atLeast"/>
        <w:jc w:val="both"/>
        <w:textAlignment w:val="baseline"/>
        <w:rPr>
          <w:rStyle w:val="normaltextrun"/>
          <w:lang w:val="en-GB"/>
        </w:rPr>
      </w:pPr>
    </w:p>
    <w:p w:rsidR="003D689C" w:rsidRPr="003D689C" w:rsidRDefault="003D689C" w:rsidP="003D689C">
      <w:pPr>
        <w:pStyle w:val="paragraph"/>
        <w:numPr>
          <w:ilvl w:val="0"/>
          <w:numId w:val="11"/>
        </w:numPr>
        <w:spacing w:before="0" w:beforeAutospacing="0" w:after="0" w:afterAutospacing="0" w:line="260" w:lineRule="atLeast"/>
        <w:ind w:left="0" w:firstLine="0"/>
        <w:jc w:val="both"/>
        <w:textAlignment w:val="baseline"/>
        <w:rPr>
          <w:rStyle w:val="normaltextrun"/>
        </w:rPr>
      </w:pPr>
      <w:r>
        <w:rPr>
          <w:rStyle w:val="normaltextrun"/>
          <w:rFonts w:ascii="Verdana" w:hAnsi="Verdana"/>
          <w:i/>
          <w:sz w:val="18"/>
          <w:szCs w:val="18"/>
        </w:rPr>
        <w:t>Pasta "</w:t>
      </w:r>
      <w:r>
        <w:rPr>
          <w:rStyle w:val="eop"/>
          <w:rFonts w:ascii="Verdana" w:hAnsi="Verdana"/>
          <w:i/>
          <w:sz w:val="18"/>
          <w:szCs w:val="18"/>
        </w:rPr>
        <w:t>Dia 2/2.2.3 Exercício de investigação/Provas/</w:t>
      </w:r>
      <w:r>
        <w:rPr>
          <w:rStyle w:val="normaltextrun"/>
          <w:rFonts w:ascii="Verdana" w:hAnsi="Verdana"/>
          <w:i/>
          <w:sz w:val="18"/>
          <w:szCs w:val="18"/>
        </w:rPr>
        <w:t>Documentos e relatórios"</w:t>
      </w:r>
      <w:r>
        <w:rPr>
          <w:rStyle w:val="normaltextrun"/>
          <w:rFonts w:ascii="Verdana" w:hAnsi="Verdana"/>
          <w:sz w:val="18"/>
          <w:szCs w:val="18"/>
        </w:rPr>
        <w:t>:</w:t>
      </w:r>
    </w:p>
    <w:p w:rsidR="003D689C" w:rsidRPr="003D689C" w:rsidRDefault="003D689C" w:rsidP="005471F2">
      <w:pPr>
        <w:pStyle w:val="paragraph"/>
        <w:numPr>
          <w:ilvl w:val="0"/>
          <w:numId w:val="18"/>
        </w:numPr>
        <w:spacing w:before="0" w:beforeAutospacing="0" w:after="0" w:afterAutospacing="0" w:line="260" w:lineRule="atLeast"/>
        <w:jc w:val="both"/>
        <w:textAlignment w:val="baseline"/>
        <w:rPr>
          <w:rStyle w:val="normaltextrun"/>
        </w:rPr>
      </w:pPr>
      <w:r>
        <w:rPr>
          <w:rStyle w:val="normaltextrun"/>
          <w:rFonts w:ascii="Verdana" w:hAnsi="Verdana"/>
          <w:sz w:val="18"/>
          <w:szCs w:val="18"/>
        </w:rPr>
        <w:t>Anúncio do bónus de aniversário por parte do FBA;</w:t>
      </w:r>
    </w:p>
    <w:p w:rsidR="003D689C" w:rsidRDefault="003D689C" w:rsidP="005471F2">
      <w:pPr>
        <w:pStyle w:val="paragraph"/>
        <w:numPr>
          <w:ilvl w:val="0"/>
          <w:numId w:val="18"/>
        </w:numPr>
        <w:spacing w:before="0" w:beforeAutospacing="0" w:after="0" w:afterAutospacing="0" w:line="260" w:lineRule="atLeast"/>
        <w:jc w:val="both"/>
        <w:textAlignment w:val="baseline"/>
        <w:rPr>
          <w:rStyle w:val="normaltextrun"/>
        </w:rPr>
      </w:pPr>
      <w:r>
        <w:rPr>
          <w:rStyle w:val="normaltextrun"/>
          <w:rFonts w:ascii="Verdana" w:hAnsi="Verdana"/>
          <w:sz w:val="18"/>
          <w:szCs w:val="18"/>
        </w:rPr>
        <w:t>Bónus do FBA.</w:t>
      </w:r>
    </w:p>
    <w:p w:rsidR="001E510B" w:rsidRPr="003D689C" w:rsidRDefault="001E510B" w:rsidP="001E510B">
      <w:pPr>
        <w:pStyle w:val="paragraph"/>
        <w:spacing w:before="0" w:beforeAutospacing="0" w:after="0" w:afterAutospacing="0" w:line="260" w:lineRule="atLeast"/>
        <w:jc w:val="both"/>
        <w:textAlignment w:val="baseline"/>
        <w:rPr>
          <w:rStyle w:val="normaltextrun"/>
        </w:rPr>
      </w:pPr>
    </w:p>
    <w:p w:rsidR="003D689C" w:rsidRPr="003D689C" w:rsidRDefault="003D689C" w:rsidP="003D689C">
      <w:pPr>
        <w:pStyle w:val="paragraph"/>
        <w:numPr>
          <w:ilvl w:val="0"/>
          <w:numId w:val="11"/>
        </w:numPr>
        <w:spacing w:before="0" w:beforeAutospacing="0" w:after="0" w:afterAutospacing="0" w:line="260" w:lineRule="atLeast"/>
        <w:ind w:left="0" w:firstLine="0"/>
        <w:jc w:val="both"/>
        <w:textAlignment w:val="baseline"/>
        <w:rPr>
          <w:rStyle w:val="normaltextrun"/>
        </w:rPr>
      </w:pPr>
      <w:r>
        <w:rPr>
          <w:rStyle w:val="normaltextrun"/>
          <w:rFonts w:ascii="Verdana" w:hAnsi="Verdana"/>
          <w:i/>
          <w:sz w:val="18"/>
          <w:szCs w:val="18"/>
        </w:rPr>
        <w:t>Pasta "</w:t>
      </w:r>
      <w:r>
        <w:rPr>
          <w:rStyle w:val="eop"/>
          <w:rFonts w:ascii="Verdana" w:hAnsi="Verdana"/>
          <w:i/>
          <w:sz w:val="18"/>
          <w:szCs w:val="18"/>
        </w:rPr>
        <w:t>Dia 2/2.2.3 Exercício de investigação/Provas/</w:t>
      </w:r>
      <w:r>
        <w:rPr>
          <w:rStyle w:val="normaltextrun"/>
          <w:rFonts w:ascii="Verdana" w:hAnsi="Verdana"/>
          <w:i/>
          <w:sz w:val="18"/>
          <w:szCs w:val="18"/>
        </w:rPr>
        <w:t>E-mails"</w:t>
      </w:r>
      <w:r>
        <w:rPr>
          <w:rStyle w:val="normaltextrun"/>
          <w:rFonts w:ascii="Verdana" w:hAnsi="Verdana"/>
          <w:sz w:val="18"/>
          <w:szCs w:val="18"/>
        </w:rPr>
        <w:t>:</w:t>
      </w:r>
    </w:p>
    <w:p w:rsidR="003D689C" w:rsidRPr="003D689C" w:rsidRDefault="003D689C" w:rsidP="005471F2">
      <w:pPr>
        <w:pStyle w:val="paragraph"/>
        <w:numPr>
          <w:ilvl w:val="0"/>
          <w:numId w:val="19"/>
        </w:numPr>
        <w:spacing w:before="0" w:beforeAutospacing="0" w:after="0" w:afterAutospacing="0" w:line="260" w:lineRule="atLeast"/>
        <w:jc w:val="both"/>
        <w:textAlignment w:val="baseline"/>
        <w:rPr>
          <w:rStyle w:val="normaltextrun"/>
        </w:rPr>
      </w:pPr>
      <w:r>
        <w:rPr>
          <w:rStyle w:val="normaltextrun"/>
          <w:rFonts w:ascii="Verdana" w:hAnsi="Verdana"/>
          <w:sz w:val="18"/>
          <w:szCs w:val="18"/>
        </w:rPr>
        <w:t>1.º e-mail;</w:t>
      </w:r>
    </w:p>
    <w:p w:rsidR="003D689C" w:rsidRPr="007E06A8" w:rsidRDefault="003D689C" w:rsidP="005471F2">
      <w:pPr>
        <w:pStyle w:val="paragraph"/>
        <w:numPr>
          <w:ilvl w:val="0"/>
          <w:numId w:val="19"/>
        </w:numPr>
        <w:spacing w:before="0" w:beforeAutospacing="0" w:after="0" w:afterAutospacing="0" w:line="260" w:lineRule="atLeast"/>
        <w:jc w:val="both"/>
        <w:textAlignment w:val="baseline"/>
        <w:rPr>
          <w:rStyle w:val="normaltextrun"/>
        </w:rPr>
      </w:pPr>
      <w:r>
        <w:rPr>
          <w:rStyle w:val="normaltextrun"/>
          <w:rFonts w:ascii="Verdana" w:hAnsi="Verdana"/>
          <w:sz w:val="18"/>
          <w:szCs w:val="18"/>
        </w:rPr>
        <w:t>2.º e-mail.</w:t>
      </w:r>
    </w:p>
    <w:p w:rsidR="00321D54" w:rsidRPr="003D689C" w:rsidRDefault="00321D54" w:rsidP="007E06A8">
      <w:pPr>
        <w:pStyle w:val="paragraph"/>
        <w:spacing w:before="0" w:beforeAutospacing="0" w:after="0" w:afterAutospacing="0" w:line="260" w:lineRule="atLeast"/>
        <w:ind w:left="720"/>
        <w:jc w:val="both"/>
        <w:textAlignment w:val="baseline"/>
        <w:rPr>
          <w:rStyle w:val="normaltextrun"/>
          <w:rFonts w:asciiTheme="minorHAnsi" w:eastAsiaTheme="minorHAnsi" w:hAnsiTheme="minorHAnsi" w:cstheme="minorBidi"/>
          <w:sz w:val="22"/>
          <w:szCs w:val="22"/>
        </w:rPr>
      </w:pPr>
    </w:p>
    <w:p w:rsidR="00CD6752" w:rsidRDefault="00330F7F" w:rsidP="003D689C">
      <w:pPr>
        <w:spacing w:after="0" w:line="260" w:lineRule="atLeast"/>
        <w:jc w:val="both"/>
        <w:rPr>
          <w:rFonts w:ascii="Verdana" w:hAnsi="Verdana"/>
          <w:sz w:val="18"/>
          <w:szCs w:val="18"/>
        </w:rPr>
      </w:pPr>
      <w:r>
        <w:rPr>
          <w:rFonts w:ascii="Verdana" w:hAnsi="Verdana"/>
          <w:b/>
          <w:sz w:val="18"/>
          <w:szCs w:val="18"/>
        </w:rPr>
        <w:t>Possíveis perguntas para os formandos</w:t>
      </w:r>
      <w:r>
        <w:rPr>
          <w:rFonts w:ascii="Verdana" w:hAnsi="Verdana"/>
          <w:sz w:val="18"/>
          <w:szCs w:val="18"/>
        </w:rPr>
        <w:t>:</w:t>
      </w:r>
    </w:p>
    <w:p w:rsidR="00321D54" w:rsidRPr="003D689C" w:rsidRDefault="00321D54" w:rsidP="003D689C">
      <w:pPr>
        <w:spacing w:after="0" w:line="260" w:lineRule="atLeast"/>
        <w:jc w:val="both"/>
        <w:rPr>
          <w:rFonts w:ascii="Verdana" w:hAnsi="Verdana" w:cstheme="minorHAnsi"/>
          <w:sz w:val="18"/>
          <w:szCs w:val="18"/>
        </w:rPr>
      </w:pPr>
    </w:p>
    <w:p w:rsidR="00CD6752"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i/>
          <w:sz w:val="18"/>
          <w:szCs w:val="18"/>
        </w:rPr>
        <w:t xml:space="preserve">- Que autoridades e que tipo de ferramentas jurídicas serão utilizadas a nível local para </w:t>
      </w:r>
      <w:r w:rsidR="00AB1CCC">
        <w:rPr>
          <w:rFonts w:ascii="Verdana" w:hAnsi="Verdana"/>
          <w:i/>
          <w:sz w:val="18"/>
          <w:szCs w:val="18"/>
        </w:rPr>
        <w:t xml:space="preserve">averiguar </w:t>
      </w:r>
      <w:r>
        <w:rPr>
          <w:rFonts w:ascii="Verdana" w:hAnsi="Verdana"/>
          <w:i/>
          <w:sz w:val="18"/>
          <w:szCs w:val="18"/>
        </w:rPr>
        <w:t>os principais factos mencionados?</w:t>
      </w:r>
    </w:p>
    <w:p w:rsidR="00CD6752"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i/>
          <w:sz w:val="18"/>
          <w:szCs w:val="18"/>
        </w:rPr>
        <w:t>- Como é que estes factos influenciam o desenvolvimento da investigação?</w:t>
      </w:r>
    </w:p>
    <w:p w:rsidR="00CD6752" w:rsidRPr="005A3F39" w:rsidRDefault="00CD6752" w:rsidP="005A3F39">
      <w:pPr>
        <w:spacing w:after="0" w:line="260" w:lineRule="atLeast"/>
        <w:jc w:val="both"/>
        <w:rPr>
          <w:rFonts w:ascii="Verdana" w:hAnsi="Verdana" w:cstheme="minorHAnsi"/>
          <w:sz w:val="18"/>
          <w:szCs w:val="18"/>
        </w:rPr>
      </w:pPr>
    </w:p>
    <w:p w:rsidR="008D5A40" w:rsidRPr="005A3F39" w:rsidRDefault="00F43D7D" w:rsidP="005A3F39">
      <w:pPr>
        <w:spacing w:after="0" w:line="260" w:lineRule="atLeast"/>
        <w:jc w:val="both"/>
        <w:rPr>
          <w:rFonts w:ascii="Verdana" w:hAnsi="Verdana" w:cstheme="minorHAnsi"/>
          <w:b/>
          <w:sz w:val="18"/>
          <w:szCs w:val="18"/>
        </w:rPr>
      </w:pPr>
      <w:r>
        <w:rPr>
          <w:rFonts w:ascii="Verdana" w:hAnsi="Verdana"/>
          <w:b/>
          <w:sz w:val="18"/>
          <w:szCs w:val="18"/>
        </w:rPr>
        <w:t>2.2 Estabelecimento de dúvida razoável sobre o possível início do crime</w:t>
      </w:r>
    </w:p>
    <w:p w:rsidR="008D5A40" w:rsidRPr="005A3F39" w:rsidRDefault="008D5A40" w:rsidP="005A3F39">
      <w:pPr>
        <w:tabs>
          <w:tab w:val="left" w:pos="1350"/>
        </w:tabs>
        <w:spacing w:after="0" w:line="260" w:lineRule="atLeast"/>
        <w:jc w:val="both"/>
        <w:rPr>
          <w:rFonts w:ascii="Verdana" w:hAnsi="Verdana" w:cstheme="minorHAnsi"/>
          <w:i/>
          <w:sz w:val="18"/>
          <w:szCs w:val="18"/>
        </w:rPr>
      </w:pPr>
      <w:r>
        <w:rPr>
          <w:rFonts w:ascii="Verdana" w:hAnsi="Verdana"/>
          <w:sz w:val="18"/>
          <w:szCs w:val="18"/>
        </w:rPr>
        <w:t xml:space="preserve"> </w:t>
      </w:r>
      <w:r>
        <w:rPr>
          <w:rFonts w:ascii="Verdana" w:hAnsi="Verdana"/>
          <w:i/>
          <w:sz w:val="18"/>
          <w:szCs w:val="18"/>
        </w:rPr>
        <w:t>"Por causa do</w:t>
      </w:r>
      <w:r>
        <w:rPr>
          <w:rFonts w:ascii="Verdana" w:hAnsi="Verdana"/>
          <w:sz w:val="18"/>
          <w:szCs w:val="18"/>
        </w:rPr>
        <w:t xml:space="preserve"> </w:t>
      </w:r>
      <w:r>
        <w:rPr>
          <w:rFonts w:ascii="Verdana" w:hAnsi="Verdana"/>
          <w:i/>
          <w:sz w:val="18"/>
          <w:szCs w:val="18"/>
        </w:rPr>
        <w:t>período de férias de verão, o DLO estava com poucos funcionários e o vice-diretor recorreu a pessoal júnior e recentemente contratado para trabalhar nesta atividade, fazendo chamadas e interagindo com os colegas do Departamento Financeiro".</w:t>
      </w:r>
    </w:p>
    <w:p w:rsidR="00983120" w:rsidRPr="005A3F39" w:rsidRDefault="00983120" w:rsidP="005A3F39">
      <w:pPr>
        <w:tabs>
          <w:tab w:val="left" w:pos="1350"/>
        </w:tabs>
        <w:spacing w:after="0" w:line="260" w:lineRule="atLeast"/>
        <w:jc w:val="both"/>
        <w:rPr>
          <w:rFonts w:ascii="Verdana" w:hAnsi="Verdana" w:cstheme="minorHAnsi"/>
          <w:sz w:val="18"/>
          <w:szCs w:val="18"/>
        </w:rPr>
      </w:pPr>
    </w:p>
    <w:p w:rsidR="00580316" w:rsidRPr="00964B13" w:rsidRDefault="00964B13" w:rsidP="00964B13">
      <w:pPr>
        <w:spacing w:after="0" w:line="260" w:lineRule="atLeast"/>
        <w:jc w:val="both"/>
        <w:rPr>
          <w:rFonts w:ascii="Verdana" w:hAnsi="Verdana" w:cstheme="minorHAnsi"/>
          <w:sz w:val="18"/>
          <w:szCs w:val="18"/>
        </w:rPr>
      </w:pPr>
      <w:r>
        <w:rPr>
          <w:rFonts w:ascii="Verdana" w:hAnsi="Verdana"/>
          <w:i/>
          <w:sz w:val="18"/>
          <w:szCs w:val="18"/>
        </w:rPr>
        <w:t>Nota aos formadores</w:t>
      </w:r>
      <w:r>
        <w:rPr>
          <w:rFonts w:ascii="Verdana" w:hAnsi="Verdana"/>
          <w:sz w:val="18"/>
          <w:szCs w:val="18"/>
        </w:rPr>
        <w:t xml:space="preserve">: </w:t>
      </w:r>
      <w:r>
        <w:rPr>
          <w:rFonts w:ascii="Verdana" w:hAnsi="Verdana"/>
          <w:b/>
          <w:sz w:val="18"/>
          <w:szCs w:val="18"/>
        </w:rPr>
        <w:t>a introdução do facto de que, por causa do período de férias de verão, funcionários recentemente contratados foram incluídos numa operação tão importante deve levantar imediatamente suspeitas entre os formandos.</w:t>
      </w:r>
      <w:r>
        <w:rPr>
          <w:rFonts w:ascii="Verdana" w:hAnsi="Verdana"/>
          <w:sz w:val="18"/>
          <w:szCs w:val="18"/>
        </w:rPr>
        <w:t xml:space="preserve"> O elemento-chave é que um dos funcionários júnior é, na verdade, membro do grupo de crime organizado que solicitou a posição de nível inferior do DLO, a fim de obter qualquer tipo de acesso direto aos computadores do FBA. O objetivo era introduzir um e-mail específico de spyware capaz de enviar cópias de correspondência por e-mail entre o DLO do FBA, o Departamento Financeiro e empresas terceirizadas para o computador e utilizador designados, neste caso o pessoal júnior/principal suspeito. Com este tipo de acesso, é possível ter acesso próximo e detetar um possível alvo de um esquema de BEC.</w:t>
      </w:r>
    </w:p>
    <w:p w:rsidR="00964B13" w:rsidRPr="00964B13" w:rsidRDefault="00964B13" w:rsidP="00964B13">
      <w:pPr>
        <w:spacing w:after="0" w:line="260" w:lineRule="atLeast"/>
        <w:jc w:val="both"/>
        <w:rPr>
          <w:rFonts w:ascii="Verdana" w:hAnsi="Verdana" w:cstheme="minorHAnsi"/>
          <w:sz w:val="18"/>
          <w:szCs w:val="18"/>
        </w:rPr>
      </w:pPr>
    </w:p>
    <w:p w:rsidR="00964B13" w:rsidRDefault="00964B13" w:rsidP="00964B13">
      <w:pPr>
        <w:pStyle w:val="paragraph"/>
        <w:spacing w:before="0" w:beforeAutospacing="0" w:after="0" w:afterAutospacing="0" w:line="260" w:lineRule="atLeast"/>
        <w:jc w:val="both"/>
        <w:textAlignment w:val="baseline"/>
        <w:rPr>
          <w:rStyle w:val="eop"/>
          <w:rFonts w:asciiTheme="minorHAnsi" w:eastAsiaTheme="minorHAnsi" w:hAnsiTheme="minorHAnsi" w:cstheme="minorBidi"/>
          <w:sz w:val="22"/>
          <w:szCs w:val="22"/>
        </w:rPr>
      </w:pPr>
      <w:r>
        <w:rPr>
          <w:rStyle w:val="eop"/>
          <w:rFonts w:ascii="Verdana" w:hAnsi="Verdana"/>
          <w:b/>
          <w:sz w:val="18"/>
          <w:szCs w:val="18"/>
        </w:rPr>
        <w:t>Material a ser utilizado no estudo de caso</w:t>
      </w:r>
      <w:r>
        <w:rPr>
          <w:rStyle w:val="eop"/>
          <w:rFonts w:ascii="Verdana" w:hAnsi="Verdana"/>
          <w:sz w:val="18"/>
          <w:szCs w:val="18"/>
        </w:rPr>
        <w:t>:</w:t>
      </w:r>
    </w:p>
    <w:p w:rsidR="003219E7" w:rsidRPr="00964B13" w:rsidRDefault="003219E7" w:rsidP="00964B13">
      <w:pPr>
        <w:pStyle w:val="paragraph"/>
        <w:spacing w:before="0" w:beforeAutospacing="0" w:after="0" w:afterAutospacing="0" w:line="260" w:lineRule="atLeast"/>
        <w:jc w:val="both"/>
        <w:textAlignment w:val="baseline"/>
        <w:rPr>
          <w:rStyle w:val="eop"/>
        </w:rPr>
      </w:pPr>
    </w:p>
    <w:p w:rsidR="00964B13" w:rsidRPr="00964B13" w:rsidRDefault="003219E7" w:rsidP="00964B13">
      <w:pPr>
        <w:pStyle w:val="paragraph"/>
        <w:numPr>
          <w:ilvl w:val="0"/>
          <w:numId w:val="12"/>
        </w:numPr>
        <w:spacing w:before="0" w:beforeAutospacing="0" w:after="0" w:afterAutospacing="0" w:line="260" w:lineRule="atLeast"/>
        <w:ind w:left="0" w:firstLine="0"/>
        <w:jc w:val="both"/>
        <w:textAlignment w:val="baseline"/>
        <w:rPr>
          <w:rStyle w:val="eop"/>
        </w:rPr>
      </w:pPr>
      <w:r>
        <w:rPr>
          <w:rStyle w:val="eop"/>
          <w:rFonts w:ascii="Verdana" w:hAnsi="Verdana"/>
          <w:i/>
          <w:sz w:val="18"/>
          <w:szCs w:val="18"/>
        </w:rPr>
        <w:t>Pasta "Dia 2/2.2.3 Exercício de investigação/Provas/E-mails":</w:t>
      </w:r>
    </w:p>
    <w:p w:rsidR="00964B13" w:rsidRPr="00964B13" w:rsidRDefault="00964B13" w:rsidP="005471F2">
      <w:pPr>
        <w:pStyle w:val="paragraph"/>
        <w:numPr>
          <w:ilvl w:val="0"/>
          <w:numId w:val="15"/>
        </w:numPr>
        <w:spacing w:before="0" w:beforeAutospacing="0" w:after="0" w:afterAutospacing="0" w:line="260" w:lineRule="atLeast"/>
        <w:jc w:val="both"/>
        <w:textAlignment w:val="baseline"/>
        <w:rPr>
          <w:rStyle w:val="eop"/>
        </w:rPr>
      </w:pPr>
      <w:r>
        <w:rPr>
          <w:rStyle w:val="eop"/>
          <w:rFonts w:ascii="Verdana" w:hAnsi="Verdana"/>
          <w:sz w:val="18"/>
          <w:szCs w:val="18"/>
        </w:rPr>
        <w:t>1.º e-mail;</w:t>
      </w:r>
    </w:p>
    <w:p w:rsidR="00964B13" w:rsidRPr="00964B13" w:rsidRDefault="00964B13" w:rsidP="005471F2">
      <w:pPr>
        <w:pStyle w:val="paragraph"/>
        <w:numPr>
          <w:ilvl w:val="0"/>
          <w:numId w:val="15"/>
        </w:numPr>
        <w:spacing w:before="0" w:beforeAutospacing="0" w:after="0" w:afterAutospacing="0" w:line="260" w:lineRule="atLeast"/>
        <w:jc w:val="both"/>
        <w:textAlignment w:val="baseline"/>
        <w:rPr>
          <w:rStyle w:val="eop"/>
        </w:rPr>
      </w:pPr>
      <w:r>
        <w:rPr>
          <w:rStyle w:val="eop"/>
          <w:rFonts w:ascii="Verdana" w:hAnsi="Verdana"/>
          <w:sz w:val="18"/>
          <w:szCs w:val="18"/>
        </w:rPr>
        <w:t>2.º e-mail;</w:t>
      </w:r>
    </w:p>
    <w:p w:rsidR="00964B13" w:rsidRPr="00964B13" w:rsidRDefault="00964B13" w:rsidP="005471F2">
      <w:pPr>
        <w:pStyle w:val="paragraph"/>
        <w:numPr>
          <w:ilvl w:val="0"/>
          <w:numId w:val="15"/>
        </w:numPr>
        <w:spacing w:before="0" w:beforeAutospacing="0" w:after="0" w:afterAutospacing="0" w:line="260" w:lineRule="atLeast"/>
        <w:jc w:val="both"/>
        <w:textAlignment w:val="baseline"/>
        <w:rPr>
          <w:rStyle w:val="eop"/>
        </w:rPr>
      </w:pPr>
      <w:r>
        <w:rPr>
          <w:rStyle w:val="eop"/>
          <w:rFonts w:ascii="Verdana" w:hAnsi="Verdana"/>
          <w:sz w:val="18"/>
          <w:szCs w:val="18"/>
        </w:rPr>
        <w:t>5.º e-mail;</w:t>
      </w:r>
    </w:p>
    <w:p w:rsidR="00964B13" w:rsidRPr="00964B13" w:rsidRDefault="00964B13" w:rsidP="005471F2">
      <w:pPr>
        <w:pStyle w:val="paragraph"/>
        <w:numPr>
          <w:ilvl w:val="0"/>
          <w:numId w:val="15"/>
        </w:numPr>
        <w:spacing w:before="0" w:beforeAutospacing="0" w:after="0" w:afterAutospacing="0" w:line="260" w:lineRule="atLeast"/>
        <w:jc w:val="both"/>
        <w:textAlignment w:val="baseline"/>
        <w:rPr>
          <w:rFonts w:ascii="Verdana" w:hAnsi="Verdana" w:cstheme="minorHAnsi"/>
          <w:sz w:val="18"/>
          <w:szCs w:val="18"/>
        </w:rPr>
      </w:pPr>
      <w:r>
        <w:rPr>
          <w:rStyle w:val="eop"/>
          <w:rFonts w:ascii="Verdana" w:hAnsi="Verdana"/>
          <w:sz w:val="18"/>
          <w:szCs w:val="18"/>
        </w:rPr>
        <w:t>7.º e-mail.</w:t>
      </w:r>
    </w:p>
    <w:p w:rsidR="00964B13" w:rsidRPr="00964B13" w:rsidRDefault="00964B13" w:rsidP="00964B13">
      <w:pPr>
        <w:spacing w:after="0" w:line="260" w:lineRule="atLeast"/>
        <w:jc w:val="both"/>
        <w:rPr>
          <w:rFonts w:ascii="Verdana" w:hAnsi="Verdana" w:cstheme="minorHAnsi"/>
          <w:sz w:val="18"/>
          <w:szCs w:val="18"/>
        </w:rPr>
      </w:pPr>
    </w:p>
    <w:p w:rsidR="00580316" w:rsidRPr="005A3F39" w:rsidRDefault="00580316" w:rsidP="00964B13">
      <w:pPr>
        <w:spacing w:after="0" w:line="260" w:lineRule="atLeast"/>
        <w:jc w:val="both"/>
        <w:rPr>
          <w:rFonts w:ascii="Verdana" w:hAnsi="Verdana" w:cstheme="minorHAnsi"/>
          <w:sz w:val="18"/>
          <w:szCs w:val="18"/>
        </w:rPr>
      </w:pPr>
      <w:r>
        <w:rPr>
          <w:rFonts w:ascii="Verdana" w:hAnsi="Verdana"/>
          <w:b/>
          <w:sz w:val="18"/>
          <w:szCs w:val="18"/>
        </w:rPr>
        <w:t>Possíveis perguntas para os formandos</w:t>
      </w:r>
      <w:r>
        <w:rPr>
          <w:rFonts w:ascii="Verdana" w:hAnsi="Verdana"/>
          <w:sz w:val="18"/>
          <w:szCs w:val="18"/>
        </w:rPr>
        <w:t>:</w:t>
      </w:r>
    </w:p>
    <w:p w:rsidR="00CD6752"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i/>
          <w:sz w:val="18"/>
          <w:szCs w:val="18"/>
        </w:rPr>
        <w:t xml:space="preserve">- </w:t>
      </w:r>
      <w:r w:rsidR="00B432E1">
        <w:rPr>
          <w:rFonts w:ascii="Verdana" w:hAnsi="Verdana"/>
          <w:i/>
          <w:sz w:val="18"/>
          <w:szCs w:val="18"/>
        </w:rPr>
        <w:t xml:space="preserve">Que diligências </w:t>
      </w:r>
      <w:r>
        <w:rPr>
          <w:rFonts w:ascii="Verdana" w:hAnsi="Verdana"/>
          <w:i/>
          <w:sz w:val="18"/>
          <w:szCs w:val="18"/>
        </w:rPr>
        <w:t>deve</w:t>
      </w:r>
      <w:r w:rsidR="00B432E1">
        <w:rPr>
          <w:rFonts w:ascii="Verdana" w:hAnsi="Verdana"/>
          <w:i/>
          <w:sz w:val="18"/>
          <w:szCs w:val="18"/>
        </w:rPr>
        <w:t>m</w:t>
      </w:r>
      <w:r>
        <w:rPr>
          <w:rFonts w:ascii="Verdana" w:hAnsi="Verdana"/>
          <w:i/>
          <w:sz w:val="18"/>
          <w:szCs w:val="18"/>
        </w:rPr>
        <w:t xml:space="preserve"> ser feit</w:t>
      </w:r>
      <w:r w:rsidR="00B432E1">
        <w:rPr>
          <w:rFonts w:ascii="Verdana" w:hAnsi="Verdana"/>
          <w:i/>
          <w:sz w:val="18"/>
          <w:szCs w:val="18"/>
        </w:rPr>
        <w:t>as</w:t>
      </w:r>
      <w:r>
        <w:rPr>
          <w:rFonts w:ascii="Verdana" w:hAnsi="Verdana"/>
          <w:i/>
          <w:sz w:val="18"/>
          <w:szCs w:val="18"/>
        </w:rPr>
        <w:t xml:space="preserve"> e por </w:t>
      </w:r>
      <w:r w:rsidR="00B432E1">
        <w:rPr>
          <w:rFonts w:ascii="Verdana" w:hAnsi="Verdana"/>
          <w:i/>
          <w:sz w:val="18"/>
          <w:szCs w:val="18"/>
        </w:rPr>
        <w:t xml:space="preserve">decisão de </w:t>
      </w:r>
      <w:r>
        <w:rPr>
          <w:rFonts w:ascii="Verdana" w:hAnsi="Verdana"/>
          <w:i/>
          <w:sz w:val="18"/>
          <w:szCs w:val="18"/>
        </w:rPr>
        <w:t>que autoridades a fim de estabelecer a identidade do possível criminoso?</w:t>
      </w:r>
    </w:p>
    <w:p w:rsidR="00CD6752"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i/>
          <w:sz w:val="18"/>
          <w:szCs w:val="18"/>
        </w:rPr>
        <w:t>- Como determinar o tipo de malware que foi utilizado?</w:t>
      </w:r>
    </w:p>
    <w:p w:rsidR="00CD6752" w:rsidRDefault="005471F2" w:rsidP="005471F2">
      <w:pPr>
        <w:pStyle w:val="ListParagraph"/>
        <w:spacing w:after="0" w:line="260" w:lineRule="atLeast"/>
        <w:ind w:left="0"/>
        <w:jc w:val="both"/>
        <w:rPr>
          <w:rFonts w:ascii="Verdana" w:hAnsi="Verdana" w:cstheme="minorHAnsi"/>
          <w:i/>
          <w:sz w:val="18"/>
          <w:szCs w:val="18"/>
        </w:rPr>
      </w:pPr>
      <w:r>
        <w:rPr>
          <w:rFonts w:ascii="Verdana" w:hAnsi="Verdana"/>
          <w:i/>
          <w:sz w:val="18"/>
          <w:szCs w:val="18"/>
        </w:rPr>
        <w:t xml:space="preserve">- Como estabelecer as consequências desse malware, os vestígios da comunicação de malware com pontos de contacto externos e quais são os outros factos importantes que a investigação deve </w:t>
      </w:r>
      <w:r w:rsidR="00B432E1">
        <w:rPr>
          <w:rFonts w:ascii="Verdana" w:hAnsi="Verdana"/>
          <w:i/>
          <w:sz w:val="18"/>
          <w:szCs w:val="18"/>
        </w:rPr>
        <w:t>apurar</w:t>
      </w:r>
      <w:r>
        <w:rPr>
          <w:rFonts w:ascii="Verdana" w:hAnsi="Verdana"/>
          <w:i/>
          <w:sz w:val="18"/>
          <w:szCs w:val="18"/>
        </w:rPr>
        <w:t xml:space="preserve"> neste momento?</w:t>
      </w:r>
    </w:p>
    <w:p w:rsidR="005471F2" w:rsidRPr="005471F2" w:rsidRDefault="005471F2" w:rsidP="005471F2">
      <w:pPr>
        <w:spacing w:after="0" w:line="260" w:lineRule="atLeast"/>
        <w:jc w:val="both"/>
        <w:rPr>
          <w:rFonts w:ascii="Verdana" w:hAnsi="Verdana" w:cstheme="minorHAnsi"/>
          <w:i/>
          <w:sz w:val="18"/>
          <w:szCs w:val="18"/>
        </w:rPr>
      </w:pPr>
    </w:p>
    <w:p w:rsidR="00CD6752" w:rsidRDefault="00CD6752" w:rsidP="005A3F39">
      <w:pPr>
        <w:spacing w:after="0" w:line="260" w:lineRule="atLeast"/>
        <w:jc w:val="both"/>
        <w:rPr>
          <w:rFonts w:ascii="Verdana" w:hAnsi="Verdana" w:cstheme="minorHAnsi"/>
          <w:sz w:val="18"/>
          <w:szCs w:val="18"/>
        </w:rPr>
      </w:pPr>
    </w:p>
    <w:p w:rsidR="00321D54" w:rsidRDefault="00321D54" w:rsidP="005A3F39">
      <w:pPr>
        <w:spacing w:after="0" w:line="260" w:lineRule="atLeast"/>
        <w:jc w:val="both"/>
        <w:rPr>
          <w:rFonts w:ascii="Verdana" w:hAnsi="Verdana" w:cstheme="minorHAnsi"/>
          <w:sz w:val="18"/>
          <w:szCs w:val="18"/>
        </w:rPr>
      </w:pPr>
    </w:p>
    <w:p w:rsidR="00321D54" w:rsidRPr="005A3F39" w:rsidRDefault="00321D54" w:rsidP="005A3F39">
      <w:pPr>
        <w:spacing w:after="0" w:line="260" w:lineRule="atLeast"/>
        <w:jc w:val="both"/>
        <w:rPr>
          <w:rFonts w:ascii="Verdana" w:hAnsi="Verdana" w:cstheme="minorHAnsi"/>
          <w:sz w:val="18"/>
          <w:szCs w:val="18"/>
        </w:rPr>
      </w:pPr>
    </w:p>
    <w:p w:rsidR="00813B26" w:rsidRDefault="007F305F" w:rsidP="005A3F39">
      <w:pPr>
        <w:spacing w:after="0" w:line="260" w:lineRule="atLeast"/>
        <w:jc w:val="both"/>
        <w:rPr>
          <w:rFonts w:ascii="Verdana" w:hAnsi="Verdana" w:cstheme="minorHAnsi"/>
          <w:b/>
          <w:sz w:val="24"/>
          <w:szCs w:val="24"/>
        </w:rPr>
      </w:pPr>
      <w:r>
        <w:rPr>
          <w:rFonts w:ascii="Verdana" w:hAnsi="Verdana"/>
          <w:b/>
          <w:sz w:val="24"/>
          <w:szCs w:val="24"/>
        </w:rPr>
        <w:lastRenderedPageBreak/>
        <w:t>3. Configuração financeira</w:t>
      </w:r>
    </w:p>
    <w:p w:rsidR="005471F2" w:rsidRPr="005471F2" w:rsidRDefault="005471F2" w:rsidP="005A3F39">
      <w:pPr>
        <w:spacing w:after="0" w:line="260" w:lineRule="atLeast"/>
        <w:jc w:val="both"/>
        <w:rPr>
          <w:rFonts w:ascii="Verdana" w:hAnsi="Verdana" w:cstheme="minorHAnsi"/>
          <w:b/>
          <w:sz w:val="24"/>
          <w:szCs w:val="24"/>
        </w:rPr>
      </w:pPr>
    </w:p>
    <w:p w:rsidR="00CE1EE1" w:rsidRPr="005A3F39" w:rsidRDefault="00CE1EE1" w:rsidP="005A3F39">
      <w:pPr>
        <w:spacing w:after="0" w:line="260" w:lineRule="atLeast"/>
        <w:jc w:val="both"/>
        <w:rPr>
          <w:rFonts w:ascii="Verdana" w:hAnsi="Verdana" w:cstheme="minorHAnsi"/>
          <w:i/>
          <w:sz w:val="18"/>
          <w:szCs w:val="18"/>
        </w:rPr>
      </w:pPr>
      <w:r>
        <w:rPr>
          <w:rFonts w:ascii="Verdana" w:hAnsi="Verdana"/>
          <w:i/>
          <w:sz w:val="18"/>
          <w:szCs w:val="18"/>
        </w:rPr>
        <w:t>"Foi feito um pedido</w:t>
      </w:r>
      <w:r w:rsidR="00B432E1">
        <w:rPr>
          <w:rFonts w:ascii="Verdana" w:hAnsi="Verdana"/>
          <w:i/>
          <w:sz w:val="18"/>
          <w:szCs w:val="18"/>
        </w:rPr>
        <w:t>,</w:t>
      </w:r>
      <w:r>
        <w:rPr>
          <w:rFonts w:ascii="Verdana" w:hAnsi="Verdana"/>
          <w:i/>
          <w:sz w:val="18"/>
          <w:szCs w:val="18"/>
        </w:rPr>
        <w:t xml:space="preserve"> por parte do FBA</w:t>
      </w:r>
      <w:r w:rsidR="00B432E1">
        <w:rPr>
          <w:rFonts w:ascii="Verdana" w:hAnsi="Verdana"/>
          <w:i/>
          <w:sz w:val="18"/>
          <w:szCs w:val="18"/>
        </w:rPr>
        <w:t>,</w:t>
      </w:r>
      <w:r>
        <w:rPr>
          <w:rFonts w:ascii="Verdana" w:hAnsi="Verdana"/>
          <w:i/>
          <w:sz w:val="18"/>
          <w:szCs w:val="18"/>
        </w:rPr>
        <w:t xml:space="preserve"> </w:t>
      </w:r>
      <w:r w:rsidR="00B432E1">
        <w:rPr>
          <w:rFonts w:ascii="Verdana" w:hAnsi="Verdana"/>
          <w:i/>
          <w:sz w:val="18"/>
          <w:szCs w:val="18"/>
        </w:rPr>
        <w:t>de impressão</w:t>
      </w:r>
      <w:r>
        <w:rPr>
          <w:rFonts w:ascii="Verdana" w:hAnsi="Verdana"/>
          <w:i/>
          <w:sz w:val="18"/>
          <w:szCs w:val="18"/>
        </w:rPr>
        <w:t xml:space="preserve"> de 20.000 </w:t>
      </w:r>
      <w:r w:rsidR="00B432E1">
        <w:rPr>
          <w:rFonts w:ascii="Verdana" w:hAnsi="Verdana"/>
          <w:i/>
          <w:sz w:val="18"/>
          <w:szCs w:val="18"/>
        </w:rPr>
        <w:t>exemplares</w:t>
      </w:r>
      <w:r>
        <w:rPr>
          <w:rFonts w:ascii="Verdana" w:hAnsi="Verdana"/>
          <w:i/>
          <w:sz w:val="18"/>
          <w:szCs w:val="18"/>
        </w:rPr>
        <w:t xml:space="preserve"> em papel </w:t>
      </w:r>
      <w:r w:rsidR="00B432E1">
        <w:rPr>
          <w:rFonts w:ascii="Verdana" w:hAnsi="Verdana"/>
          <w:i/>
          <w:sz w:val="18"/>
          <w:szCs w:val="18"/>
        </w:rPr>
        <w:t>pel</w:t>
      </w:r>
      <w:r>
        <w:rPr>
          <w:rFonts w:ascii="Verdana" w:hAnsi="Verdana"/>
          <w:i/>
          <w:sz w:val="18"/>
          <w:szCs w:val="18"/>
        </w:rPr>
        <w:t>a UBP</w:t>
      </w:r>
      <w:r w:rsidR="00B432E1">
        <w:rPr>
          <w:rFonts w:ascii="Verdana" w:hAnsi="Verdana"/>
          <w:i/>
          <w:sz w:val="18"/>
          <w:szCs w:val="18"/>
        </w:rPr>
        <w:t>,</w:t>
      </w:r>
      <w:r>
        <w:rPr>
          <w:rFonts w:ascii="Verdana" w:hAnsi="Verdana"/>
          <w:i/>
          <w:sz w:val="18"/>
          <w:szCs w:val="18"/>
        </w:rPr>
        <w:t xml:space="preserve"> pelo preço de 300.000 €. Os departamentos relevantes do FBA e da UBP começaram a tratar da parte logística e financeira. </w:t>
      </w:r>
    </w:p>
    <w:p w:rsidR="00983120" w:rsidRPr="005A3F39" w:rsidRDefault="00983120" w:rsidP="005A3F39">
      <w:pPr>
        <w:spacing w:after="0" w:line="260" w:lineRule="atLeast"/>
        <w:jc w:val="both"/>
        <w:rPr>
          <w:rFonts w:ascii="Verdana" w:hAnsi="Verdana" w:cstheme="minorHAnsi"/>
          <w:i/>
          <w:sz w:val="18"/>
          <w:szCs w:val="18"/>
        </w:rPr>
      </w:pPr>
    </w:p>
    <w:p w:rsidR="00CE1EE1" w:rsidRPr="005A3F39" w:rsidRDefault="00CE1EE1" w:rsidP="005A3F39">
      <w:pPr>
        <w:spacing w:after="0" w:line="260" w:lineRule="atLeast"/>
        <w:jc w:val="both"/>
        <w:rPr>
          <w:rFonts w:ascii="Verdana" w:hAnsi="Verdana" w:cstheme="minorHAnsi"/>
          <w:i/>
          <w:sz w:val="18"/>
          <w:szCs w:val="18"/>
        </w:rPr>
      </w:pPr>
      <w:r>
        <w:rPr>
          <w:rFonts w:ascii="Verdana" w:hAnsi="Verdana"/>
          <w:i/>
          <w:sz w:val="18"/>
          <w:szCs w:val="18"/>
        </w:rPr>
        <w:t>O FBA e a UBP trocaram detalhes sobre faturas e pagamentos, incluindo contas e códigos SWIFT e IBAN. A UBP exigiu um pagamento adiantado de 100.000 €, a ser transferido para a sua conta detida no Docklands Securities Bank of Norland. Este foi efetuado no prazo de 24 horas após a aceitação do pedido".</w:t>
      </w:r>
    </w:p>
    <w:p w:rsidR="00983120" w:rsidRPr="005A3F39" w:rsidRDefault="00983120" w:rsidP="005A3F39">
      <w:pPr>
        <w:spacing w:after="0" w:line="260" w:lineRule="atLeast"/>
        <w:jc w:val="both"/>
        <w:rPr>
          <w:rFonts w:ascii="Verdana" w:hAnsi="Verdana" w:cstheme="minorHAnsi"/>
          <w:i/>
          <w:sz w:val="18"/>
          <w:szCs w:val="18"/>
        </w:rPr>
      </w:pPr>
    </w:p>
    <w:p w:rsidR="008D5A40" w:rsidRPr="005A3F39" w:rsidRDefault="004C3E27" w:rsidP="005A3F39">
      <w:pPr>
        <w:spacing w:after="0" w:line="260" w:lineRule="atLeast"/>
        <w:jc w:val="both"/>
        <w:rPr>
          <w:rFonts w:ascii="Verdana" w:hAnsi="Verdana" w:cstheme="minorHAnsi"/>
          <w:sz w:val="18"/>
          <w:szCs w:val="18"/>
        </w:rPr>
      </w:pPr>
      <w:r>
        <w:rPr>
          <w:rFonts w:ascii="Verdana" w:hAnsi="Verdana"/>
          <w:sz w:val="18"/>
          <w:szCs w:val="18"/>
        </w:rPr>
        <w:t>Além da introdução de factos financeiros, há outros pontos que foram acrescentados aos factos principais:</w:t>
      </w:r>
    </w:p>
    <w:p w:rsidR="004C3E27"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i/>
          <w:sz w:val="18"/>
          <w:szCs w:val="18"/>
        </w:rPr>
        <w:t>- A inclusão do Docklands Securities Bank of Norland no círculo de negócios como banco designado da UBP para a transferência de dinheiro;</w:t>
      </w:r>
    </w:p>
    <w:p w:rsidR="004C3E27" w:rsidRPr="005A3F39" w:rsidRDefault="005471F2" w:rsidP="005471F2">
      <w:pPr>
        <w:pStyle w:val="ListParagraph"/>
        <w:spacing w:after="0" w:line="260" w:lineRule="atLeast"/>
        <w:ind w:left="0"/>
        <w:jc w:val="both"/>
        <w:rPr>
          <w:rFonts w:ascii="Verdana" w:hAnsi="Verdana" w:cstheme="minorHAnsi"/>
          <w:i/>
          <w:sz w:val="18"/>
          <w:szCs w:val="18"/>
        </w:rPr>
      </w:pPr>
      <w:r>
        <w:rPr>
          <w:rFonts w:ascii="Verdana" w:hAnsi="Verdana"/>
          <w:i/>
          <w:sz w:val="18"/>
          <w:szCs w:val="18"/>
        </w:rPr>
        <w:t>- Pagamento efetivo da transferência inicial de 100.000 € entre o FBA e a UBP com contas DSBL;</w:t>
      </w:r>
    </w:p>
    <w:p w:rsidR="004C3E27" w:rsidRDefault="005471F2" w:rsidP="005471F2">
      <w:pPr>
        <w:pStyle w:val="ListParagraph"/>
        <w:spacing w:after="0" w:line="260" w:lineRule="atLeast"/>
        <w:ind w:left="0"/>
        <w:jc w:val="both"/>
        <w:rPr>
          <w:rFonts w:ascii="Verdana" w:hAnsi="Verdana" w:cstheme="minorHAnsi"/>
          <w:i/>
          <w:sz w:val="18"/>
          <w:szCs w:val="18"/>
        </w:rPr>
      </w:pPr>
      <w:r>
        <w:rPr>
          <w:rFonts w:ascii="Verdana" w:hAnsi="Verdana"/>
          <w:i/>
          <w:sz w:val="18"/>
          <w:szCs w:val="18"/>
        </w:rPr>
        <w:t xml:space="preserve">- Introdução do facto de as </w:t>
      </w:r>
      <w:r w:rsidR="0076508A">
        <w:rPr>
          <w:rFonts w:ascii="Verdana" w:hAnsi="Verdana"/>
          <w:i/>
          <w:sz w:val="18"/>
          <w:szCs w:val="18"/>
        </w:rPr>
        <w:t xml:space="preserve">referências </w:t>
      </w:r>
      <w:r>
        <w:rPr>
          <w:rFonts w:ascii="Verdana" w:hAnsi="Verdana"/>
          <w:i/>
          <w:sz w:val="18"/>
          <w:szCs w:val="18"/>
        </w:rPr>
        <w:t xml:space="preserve">SWIFT e IBAN </w:t>
      </w:r>
      <w:r w:rsidR="0076508A">
        <w:rPr>
          <w:rFonts w:ascii="Verdana" w:hAnsi="Verdana"/>
          <w:i/>
          <w:sz w:val="18"/>
          <w:szCs w:val="18"/>
        </w:rPr>
        <w:t xml:space="preserve">das contas </w:t>
      </w:r>
      <w:r>
        <w:rPr>
          <w:rFonts w:ascii="Verdana" w:hAnsi="Verdana"/>
          <w:i/>
          <w:sz w:val="18"/>
          <w:szCs w:val="18"/>
        </w:rPr>
        <w:t>serem incluídas na transação.</w:t>
      </w:r>
    </w:p>
    <w:p w:rsidR="005471F2" w:rsidRPr="005471F2" w:rsidRDefault="005471F2" w:rsidP="005471F2">
      <w:pPr>
        <w:spacing w:after="0" w:line="260" w:lineRule="atLeast"/>
        <w:jc w:val="both"/>
        <w:rPr>
          <w:rFonts w:ascii="Verdana" w:hAnsi="Verdana" w:cstheme="minorHAnsi"/>
          <w:i/>
          <w:sz w:val="18"/>
          <w:szCs w:val="18"/>
        </w:rPr>
      </w:pPr>
    </w:p>
    <w:p w:rsidR="00D12291" w:rsidRDefault="005471F2" w:rsidP="005A3F39">
      <w:pPr>
        <w:spacing w:after="0" w:line="260" w:lineRule="atLeast"/>
        <w:jc w:val="both"/>
        <w:rPr>
          <w:rFonts w:ascii="Verdana" w:hAnsi="Verdana" w:cstheme="minorHAnsi"/>
          <w:sz w:val="18"/>
          <w:szCs w:val="18"/>
        </w:rPr>
      </w:pPr>
      <w:r>
        <w:rPr>
          <w:rFonts w:ascii="Verdana" w:hAnsi="Verdana"/>
          <w:i/>
          <w:sz w:val="18"/>
          <w:szCs w:val="18"/>
        </w:rPr>
        <w:t>Nota aos formadores</w:t>
      </w:r>
      <w:r>
        <w:rPr>
          <w:rFonts w:ascii="Verdana" w:hAnsi="Verdana"/>
          <w:sz w:val="18"/>
          <w:szCs w:val="18"/>
        </w:rPr>
        <w:t xml:space="preserve">: </w:t>
      </w:r>
      <w:r>
        <w:rPr>
          <w:rFonts w:ascii="Verdana" w:hAnsi="Verdana"/>
          <w:b/>
          <w:sz w:val="18"/>
          <w:szCs w:val="18"/>
        </w:rPr>
        <w:t xml:space="preserve">esta configuração deve indicar que a transferência bancária inicial não teve problemas e que mencionar as contas e </w:t>
      </w:r>
      <w:r w:rsidR="0076508A">
        <w:rPr>
          <w:rFonts w:ascii="Verdana" w:hAnsi="Verdana"/>
          <w:b/>
          <w:sz w:val="18"/>
          <w:szCs w:val="18"/>
        </w:rPr>
        <w:t>referências</w:t>
      </w:r>
      <w:r>
        <w:rPr>
          <w:rFonts w:ascii="Verdana" w:hAnsi="Verdana"/>
          <w:b/>
          <w:sz w:val="18"/>
          <w:szCs w:val="18"/>
        </w:rPr>
        <w:t xml:space="preserve"> SWIFT e IBAN significa que a transferência de dinheiro é de natureza internacional e não</w:t>
      </w:r>
      <w:r w:rsidR="0076508A">
        <w:rPr>
          <w:rFonts w:ascii="Verdana" w:hAnsi="Verdana"/>
          <w:b/>
          <w:sz w:val="18"/>
          <w:szCs w:val="18"/>
        </w:rPr>
        <w:t xml:space="preserve"> meramente</w:t>
      </w:r>
      <w:r>
        <w:rPr>
          <w:rFonts w:ascii="Verdana" w:hAnsi="Verdana"/>
          <w:b/>
          <w:sz w:val="18"/>
          <w:szCs w:val="18"/>
        </w:rPr>
        <w:t xml:space="preserve"> nacional.</w:t>
      </w:r>
      <w:r>
        <w:rPr>
          <w:rFonts w:ascii="Verdana" w:hAnsi="Verdana"/>
          <w:sz w:val="18"/>
          <w:szCs w:val="18"/>
        </w:rPr>
        <w:t xml:space="preserve"> Dito isto, os formandos devem começar a considerar a utilização do</w:t>
      </w:r>
      <w:r w:rsidR="0076508A">
        <w:rPr>
          <w:rFonts w:ascii="Verdana" w:hAnsi="Verdana"/>
          <w:sz w:val="18"/>
          <w:szCs w:val="18"/>
        </w:rPr>
        <w:t xml:space="preserve">as normas </w:t>
      </w:r>
      <w:r>
        <w:rPr>
          <w:rFonts w:ascii="Verdana" w:hAnsi="Verdana"/>
          <w:sz w:val="18"/>
          <w:szCs w:val="18"/>
        </w:rPr>
        <w:t>de assistência jurídica internacional da Convenção de Budapeste.</w:t>
      </w:r>
    </w:p>
    <w:p w:rsidR="005471F2" w:rsidRDefault="005471F2" w:rsidP="005A3F39">
      <w:pPr>
        <w:spacing w:after="0" w:line="260" w:lineRule="atLeast"/>
        <w:jc w:val="both"/>
        <w:rPr>
          <w:rFonts w:ascii="Verdana" w:hAnsi="Verdana" w:cstheme="minorHAnsi"/>
          <w:sz w:val="18"/>
          <w:szCs w:val="18"/>
        </w:rPr>
      </w:pPr>
    </w:p>
    <w:p w:rsidR="005471F2" w:rsidRDefault="005471F2" w:rsidP="005471F2">
      <w:pPr>
        <w:pStyle w:val="paragraph"/>
        <w:spacing w:before="0" w:beforeAutospacing="0" w:after="0" w:afterAutospacing="0" w:line="260" w:lineRule="atLeast"/>
        <w:jc w:val="both"/>
        <w:textAlignment w:val="baseline"/>
        <w:rPr>
          <w:rStyle w:val="eop"/>
          <w:rFonts w:asciiTheme="minorHAnsi" w:eastAsiaTheme="minorHAnsi" w:hAnsiTheme="minorHAnsi" w:cstheme="minorBidi"/>
          <w:sz w:val="22"/>
          <w:szCs w:val="22"/>
        </w:rPr>
      </w:pPr>
      <w:r>
        <w:rPr>
          <w:rStyle w:val="eop"/>
          <w:rFonts w:ascii="Verdana" w:hAnsi="Verdana"/>
          <w:b/>
          <w:sz w:val="18"/>
          <w:szCs w:val="18"/>
        </w:rPr>
        <w:t>Material a ser utilizado no estudo de caso</w:t>
      </w:r>
      <w:r>
        <w:rPr>
          <w:rStyle w:val="eop"/>
          <w:rFonts w:ascii="Verdana" w:hAnsi="Verdana"/>
          <w:sz w:val="18"/>
          <w:szCs w:val="18"/>
        </w:rPr>
        <w:t>:</w:t>
      </w:r>
    </w:p>
    <w:p w:rsidR="005471F2" w:rsidRPr="004B7A6F" w:rsidRDefault="005471F2" w:rsidP="005471F2">
      <w:pPr>
        <w:pStyle w:val="paragraph"/>
        <w:spacing w:before="0" w:beforeAutospacing="0" w:after="0" w:afterAutospacing="0" w:line="260" w:lineRule="atLeast"/>
        <w:jc w:val="both"/>
        <w:textAlignment w:val="baseline"/>
        <w:rPr>
          <w:rStyle w:val="eop"/>
        </w:rPr>
      </w:pPr>
    </w:p>
    <w:p w:rsidR="005471F2" w:rsidRDefault="005471F2" w:rsidP="005471F2">
      <w:pPr>
        <w:pStyle w:val="paragraph"/>
        <w:numPr>
          <w:ilvl w:val="0"/>
          <w:numId w:val="8"/>
        </w:numPr>
        <w:spacing w:before="0" w:beforeAutospacing="0" w:after="0" w:afterAutospacing="0" w:line="260" w:lineRule="atLeast"/>
        <w:ind w:left="0" w:firstLine="0"/>
        <w:jc w:val="both"/>
        <w:textAlignment w:val="baseline"/>
        <w:rPr>
          <w:rStyle w:val="normaltextrun"/>
        </w:rPr>
      </w:pPr>
      <w:r>
        <w:rPr>
          <w:rStyle w:val="eop"/>
          <w:rFonts w:ascii="Verdana" w:hAnsi="Verdana"/>
          <w:i/>
          <w:sz w:val="18"/>
          <w:szCs w:val="18"/>
        </w:rPr>
        <w:t xml:space="preserve">Pasta </w:t>
      </w:r>
      <w:r>
        <w:rPr>
          <w:rStyle w:val="normaltextrun"/>
          <w:rFonts w:ascii="Verdana" w:hAnsi="Verdana"/>
          <w:i/>
          <w:sz w:val="18"/>
          <w:szCs w:val="18"/>
        </w:rPr>
        <w:t>"</w:t>
      </w:r>
      <w:r>
        <w:rPr>
          <w:rStyle w:val="eop"/>
          <w:rFonts w:ascii="Verdana" w:hAnsi="Verdana"/>
          <w:i/>
          <w:sz w:val="18"/>
          <w:szCs w:val="18"/>
        </w:rPr>
        <w:t>Dia 2/2.2.3 Exercício de investigação/Provas/</w:t>
      </w:r>
      <w:r>
        <w:rPr>
          <w:rStyle w:val="normaltextrun"/>
          <w:rFonts w:ascii="Verdana" w:hAnsi="Verdana"/>
          <w:i/>
          <w:sz w:val="18"/>
          <w:szCs w:val="18"/>
        </w:rPr>
        <w:t>Documentos e relatórios"</w:t>
      </w:r>
      <w:r>
        <w:rPr>
          <w:rStyle w:val="normaltextrun"/>
          <w:rFonts w:ascii="Verdana" w:hAnsi="Verdana"/>
          <w:sz w:val="18"/>
          <w:szCs w:val="18"/>
        </w:rPr>
        <w:t>:</w:t>
      </w:r>
    </w:p>
    <w:p w:rsidR="005471F2" w:rsidRDefault="005471F2" w:rsidP="00ED43D0">
      <w:pPr>
        <w:pStyle w:val="paragraph"/>
        <w:numPr>
          <w:ilvl w:val="0"/>
          <w:numId w:val="41"/>
        </w:numPr>
        <w:spacing w:before="0" w:beforeAutospacing="0" w:after="0" w:afterAutospacing="0" w:line="260" w:lineRule="atLeast"/>
        <w:jc w:val="both"/>
        <w:textAlignment w:val="baseline"/>
        <w:rPr>
          <w:rStyle w:val="eop"/>
        </w:rPr>
      </w:pPr>
      <w:r>
        <w:rPr>
          <w:rStyle w:val="eop"/>
          <w:rFonts w:ascii="Verdana" w:hAnsi="Verdana"/>
          <w:sz w:val="18"/>
          <w:szCs w:val="18"/>
        </w:rPr>
        <w:t>Contrato entre o FBA e a UBP.</w:t>
      </w:r>
    </w:p>
    <w:p w:rsidR="005471F2" w:rsidRPr="005471F2" w:rsidRDefault="005471F2" w:rsidP="005471F2">
      <w:pPr>
        <w:pStyle w:val="paragraph"/>
        <w:spacing w:before="0" w:beforeAutospacing="0" w:after="0" w:afterAutospacing="0" w:line="260" w:lineRule="atLeast"/>
        <w:ind w:firstLine="720"/>
        <w:jc w:val="both"/>
        <w:textAlignment w:val="baseline"/>
        <w:rPr>
          <w:rStyle w:val="eop"/>
        </w:rPr>
      </w:pPr>
    </w:p>
    <w:p w:rsidR="005471F2" w:rsidRPr="004B7A6F" w:rsidRDefault="005471F2" w:rsidP="005471F2">
      <w:pPr>
        <w:pStyle w:val="paragraph"/>
        <w:numPr>
          <w:ilvl w:val="0"/>
          <w:numId w:val="13"/>
        </w:numPr>
        <w:spacing w:before="0" w:beforeAutospacing="0" w:after="0" w:afterAutospacing="0" w:line="260" w:lineRule="atLeast"/>
        <w:ind w:left="0" w:firstLine="0"/>
        <w:jc w:val="both"/>
        <w:textAlignment w:val="baseline"/>
        <w:rPr>
          <w:rStyle w:val="eop"/>
        </w:rPr>
      </w:pPr>
      <w:r>
        <w:rPr>
          <w:rStyle w:val="eop"/>
          <w:rFonts w:ascii="Verdana" w:hAnsi="Verdana"/>
          <w:i/>
          <w:sz w:val="18"/>
          <w:szCs w:val="18"/>
        </w:rPr>
        <w:t>Pasta "Dia 2/2.2.3 Exercício de investigação/Provas/Extratos bancários"</w:t>
      </w:r>
      <w:r>
        <w:rPr>
          <w:rStyle w:val="eop"/>
          <w:rFonts w:ascii="Verdana" w:hAnsi="Verdana"/>
          <w:sz w:val="18"/>
          <w:szCs w:val="18"/>
        </w:rPr>
        <w:t>:</w:t>
      </w:r>
    </w:p>
    <w:p w:rsidR="005471F2" w:rsidRPr="004B7A6F" w:rsidRDefault="005471F2" w:rsidP="005471F2">
      <w:pPr>
        <w:pStyle w:val="paragraph"/>
        <w:numPr>
          <w:ilvl w:val="0"/>
          <w:numId w:val="20"/>
        </w:numPr>
        <w:spacing w:before="0" w:beforeAutospacing="0" w:after="0" w:afterAutospacing="0" w:line="260" w:lineRule="atLeast"/>
        <w:jc w:val="both"/>
        <w:textAlignment w:val="baseline"/>
        <w:rPr>
          <w:rStyle w:val="eop"/>
        </w:rPr>
      </w:pPr>
      <w:r>
        <w:rPr>
          <w:rStyle w:val="eop"/>
          <w:rFonts w:ascii="Verdana" w:hAnsi="Verdana"/>
          <w:sz w:val="18"/>
          <w:szCs w:val="18"/>
        </w:rPr>
        <w:t>Fatura pró-forma da UBP;</w:t>
      </w:r>
    </w:p>
    <w:p w:rsidR="005471F2" w:rsidRPr="004B7A6F" w:rsidRDefault="005471F2" w:rsidP="005471F2">
      <w:pPr>
        <w:pStyle w:val="paragraph"/>
        <w:numPr>
          <w:ilvl w:val="0"/>
          <w:numId w:val="20"/>
        </w:numPr>
        <w:spacing w:before="0" w:beforeAutospacing="0" w:after="0" w:afterAutospacing="0" w:line="260" w:lineRule="atLeast"/>
        <w:jc w:val="both"/>
        <w:textAlignment w:val="baseline"/>
        <w:rPr>
          <w:rStyle w:val="eop"/>
        </w:rPr>
      </w:pPr>
      <w:r>
        <w:rPr>
          <w:rStyle w:val="eop"/>
          <w:rFonts w:ascii="Verdana" w:hAnsi="Verdana"/>
          <w:sz w:val="18"/>
          <w:szCs w:val="18"/>
        </w:rPr>
        <w:t>Extrato bancário do FBA;</w:t>
      </w:r>
    </w:p>
    <w:p w:rsidR="005471F2" w:rsidRDefault="005471F2" w:rsidP="005471F2">
      <w:pPr>
        <w:pStyle w:val="paragraph"/>
        <w:numPr>
          <w:ilvl w:val="0"/>
          <w:numId w:val="20"/>
        </w:numPr>
        <w:spacing w:before="0" w:beforeAutospacing="0" w:after="0" w:afterAutospacing="0" w:line="260" w:lineRule="atLeast"/>
        <w:jc w:val="both"/>
        <w:textAlignment w:val="baseline"/>
        <w:rPr>
          <w:rStyle w:val="eop"/>
        </w:rPr>
      </w:pPr>
      <w:r>
        <w:rPr>
          <w:rStyle w:val="eop"/>
          <w:rFonts w:ascii="Verdana" w:hAnsi="Verdana"/>
          <w:sz w:val="18"/>
          <w:szCs w:val="18"/>
        </w:rPr>
        <w:t>Extrato bancário da UBP.</w:t>
      </w:r>
    </w:p>
    <w:p w:rsidR="005471F2" w:rsidRPr="004B7A6F" w:rsidRDefault="005471F2" w:rsidP="005471F2">
      <w:pPr>
        <w:pStyle w:val="paragraph"/>
        <w:spacing w:before="0" w:beforeAutospacing="0" w:after="0" w:afterAutospacing="0" w:line="260" w:lineRule="atLeast"/>
        <w:jc w:val="both"/>
        <w:textAlignment w:val="baseline"/>
        <w:rPr>
          <w:rStyle w:val="eop"/>
        </w:rPr>
      </w:pPr>
    </w:p>
    <w:p w:rsidR="005471F2" w:rsidRPr="004B7A6F" w:rsidRDefault="00453298" w:rsidP="005471F2">
      <w:pPr>
        <w:pStyle w:val="paragraph"/>
        <w:numPr>
          <w:ilvl w:val="0"/>
          <w:numId w:val="13"/>
        </w:numPr>
        <w:spacing w:before="0" w:beforeAutospacing="0" w:after="0" w:afterAutospacing="0" w:line="260" w:lineRule="atLeast"/>
        <w:ind w:left="0" w:firstLine="0"/>
        <w:jc w:val="both"/>
        <w:textAlignment w:val="baseline"/>
        <w:rPr>
          <w:rStyle w:val="eop"/>
        </w:rPr>
      </w:pPr>
      <w:r>
        <w:rPr>
          <w:rStyle w:val="eop"/>
          <w:rFonts w:ascii="Verdana" w:hAnsi="Verdana"/>
          <w:i/>
          <w:sz w:val="18"/>
          <w:szCs w:val="18"/>
        </w:rPr>
        <w:t>Pasta "Dia 2/2.2.3 Exercício de investigação/Provas/E-mails":</w:t>
      </w:r>
    </w:p>
    <w:p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Pr>
      </w:pPr>
      <w:r>
        <w:rPr>
          <w:rStyle w:val="eop"/>
          <w:rFonts w:ascii="Verdana" w:hAnsi="Verdana"/>
          <w:sz w:val="18"/>
          <w:szCs w:val="18"/>
        </w:rPr>
        <w:t>3.º e-mail;</w:t>
      </w:r>
    </w:p>
    <w:p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Pr>
      </w:pPr>
      <w:r>
        <w:rPr>
          <w:rStyle w:val="eop"/>
          <w:rFonts w:ascii="Verdana" w:hAnsi="Verdana"/>
          <w:sz w:val="18"/>
          <w:szCs w:val="18"/>
        </w:rPr>
        <w:t>4.º e-mail;</w:t>
      </w:r>
    </w:p>
    <w:p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Pr>
      </w:pPr>
      <w:r>
        <w:rPr>
          <w:rStyle w:val="eop"/>
          <w:rFonts w:ascii="Verdana" w:hAnsi="Verdana"/>
          <w:sz w:val="18"/>
          <w:szCs w:val="18"/>
        </w:rPr>
        <w:t>6.º e-mail;</w:t>
      </w:r>
    </w:p>
    <w:p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Pr>
      </w:pPr>
      <w:r>
        <w:rPr>
          <w:rStyle w:val="eop"/>
          <w:rFonts w:ascii="Verdana" w:hAnsi="Verdana"/>
          <w:bCs/>
          <w:sz w:val="18"/>
          <w:szCs w:val="18"/>
        </w:rPr>
        <w:t>7.º e-mail;</w:t>
      </w:r>
    </w:p>
    <w:p w:rsidR="005471F2" w:rsidRPr="005471F2" w:rsidRDefault="005471F2" w:rsidP="005471F2">
      <w:pPr>
        <w:pStyle w:val="paragraph"/>
        <w:numPr>
          <w:ilvl w:val="0"/>
          <w:numId w:val="21"/>
        </w:numPr>
        <w:spacing w:before="0" w:beforeAutospacing="0" w:after="0" w:afterAutospacing="0" w:line="260" w:lineRule="atLeast"/>
        <w:jc w:val="both"/>
        <w:textAlignment w:val="baseline"/>
        <w:rPr>
          <w:rStyle w:val="eop"/>
        </w:rPr>
      </w:pPr>
      <w:r>
        <w:rPr>
          <w:rStyle w:val="eop"/>
          <w:rFonts w:ascii="Verdana" w:hAnsi="Verdana"/>
          <w:bCs/>
          <w:sz w:val="18"/>
          <w:szCs w:val="18"/>
        </w:rPr>
        <w:t>8.º e-mail</w:t>
      </w:r>
    </w:p>
    <w:p w:rsidR="005471F2" w:rsidRPr="004B7A6F" w:rsidRDefault="005471F2" w:rsidP="005471F2">
      <w:pPr>
        <w:pStyle w:val="paragraph"/>
        <w:spacing w:before="0" w:beforeAutospacing="0" w:after="0" w:afterAutospacing="0" w:line="260" w:lineRule="atLeast"/>
        <w:jc w:val="both"/>
        <w:textAlignment w:val="baseline"/>
        <w:rPr>
          <w:rStyle w:val="normaltextrun"/>
        </w:rPr>
      </w:pPr>
    </w:p>
    <w:p w:rsidR="005471F2" w:rsidRPr="004B7A6F" w:rsidRDefault="00F44225" w:rsidP="005471F2">
      <w:pPr>
        <w:pStyle w:val="paragraph"/>
        <w:spacing w:before="0" w:beforeAutospacing="0" w:after="0" w:afterAutospacing="0" w:line="260" w:lineRule="atLeast"/>
        <w:jc w:val="both"/>
        <w:textAlignment w:val="baseline"/>
        <w:rPr>
          <w:rStyle w:val="eop"/>
        </w:rPr>
      </w:pPr>
      <w:r>
        <w:rPr>
          <w:rStyle w:val="normaltextrun"/>
          <w:rFonts w:ascii="Verdana" w:hAnsi="Verdana"/>
          <w:b/>
          <w:bCs/>
          <w:sz w:val="18"/>
          <w:szCs w:val="18"/>
        </w:rPr>
        <w:t>Possíveis perguntas para os formandos</w:t>
      </w:r>
      <w:r>
        <w:rPr>
          <w:rStyle w:val="normaltextrun"/>
          <w:rFonts w:ascii="Verdana" w:hAnsi="Verdana"/>
          <w:sz w:val="18"/>
          <w:szCs w:val="18"/>
        </w:rPr>
        <w:t>:</w:t>
      </w:r>
    </w:p>
    <w:p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Pr>
          <w:rFonts w:ascii="Verdana" w:hAnsi="Verdana"/>
          <w:i/>
          <w:sz w:val="18"/>
          <w:szCs w:val="18"/>
        </w:rPr>
        <w:t>Quais são os principais artigos substantivos do contrato?</w:t>
      </w:r>
    </w:p>
    <w:p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Pr>
          <w:rFonts w:ascii="Verdana" w:hAnsi="Verdana"/>
          <w:i/>
          <w:sz w:val="18"/>
          <w:szCs w:val="18"/>
        </w:rPr>
        <w:t>Como e quando é que o pagamento antecipado foi transferido?</w:t>
      </w:r>
    </w:p>
    <w:p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Pr>
          <w:rFonts w:ascii="Verdana" w:hAnsi="Verdana"/>
          <w:i/>
          <w:sz w:val="18"/>
          <w:szCs w:val="18"/>
        </w:rPr>
        <w:t>A transferência foi efetuada sem problemas e porquê?</w:t>
      </w:r>
    </w:p>
    <w:p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Pr>
          <w:rFonts w:ascii="Verdana" w:hAnsi="Verdana"/>
          <w:i/>
          <w:sz w:val="18"/>
          <w:szCs w:val="18"/>
        </w:rPr>
        <w:t>Há a possibilidade de a transferência ter sido monitorizada por uma parte indesejada?</w:t>
      </w:r>
    </w:p>
    <w:p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Pr>
          <w:rFonts w:ascii="Verdana" w:hAnsi="Verdana"/>
          <w:i/>
          <w:sz w:val="18"/>
          <w:szCs w:val="18"/>
        </w:rPr>
        <w:t>Se sim, como?</w:t>
      </w:r>
    </w:p>
    <w:p w:rsidR="005471F2" w:rsidRPr="005A3F39" w:rsidRDefault="005471F2" w:rsidP="005A3F39">
      <w:pPr>
        <w:spacing w:after="0" w:line="260" w:lineRule="atLeast"/>
        <w:jc w:val="both"/>
        <w:rPr>
          <w:rFonts w:ascii="Verdana" w:hAnsi="Verdana" w:cstheme="minorHAnsi"/>
          <w:sz w:val="18"/>
          <w:szCs w:val="18"/>
        </w:rPr>
      </w:pPr>
    </w:p>
    <w:p w:rsidR="005B2E3A" w:rsidRPr="005A3F39" w:rsidRDefault="005B2E3A" w:rsidP="005A3F39">
      <w:pPr>
        <w:spacing w:after="0" w:line="260" w:lineRule="atLeast"/>
        <w:jc w:val="both"/>
        <w:rPr>
          <w:rFonts w:ascii="Verdana" w:hAnsi="Verdana" w:cstheme="minorHAnsi"/>
          <w:sz w:val="18"/>
          <w:szCs w:val="18"/>
        </w:rPr>
      </w:pPr>
    </w:p>
    <w:p w:rsidR="004C3E27" w:rsidRDefault="004C3E27" w:rsidP="005A3F39">
      <w:pPr>
        <w:spacing w:after="0" w:line="260" w:lineRule="atLeast"/>
        <w:jc w:val="both"/>
        <w:rPr>
          <w:rFonts w:ascii="Verdana" w:hAnsi="Verdana" w:cstheme="minorHAnsi"/>
          <w:b/>
          <w:sz w:val="24"/>
          <w:szCs w:val="24"/>
        </w:rPr>
      </w:pPr>
      <w:r>
        <w:rPr>
          <w:rFonts w:ascii="Verdana" w:hAnsi="Verdana"/>
          <w:b/>
          <w:sz w:val="24"/>
          <w:szCs w:val="24"/>
        </w:rPr>
        <w:lastRenderedPageBreak/>
        <w:t>4.</w:t>
      </w:r>
      <w:r>
        <w:rPr>
          <w:rFonts w:ascii="Verdana" w:hAnsi="Verdana"/>
          <w:sz w:val="24"/>
          <w:szCs w:val="24"/>
        </w:rPr>
        <w:t xml:space="preserve"> </w:t>
      </w:r>
      <w:r>
        <w:rPr>
          <w:rFonts w:ascii="Verdana" w:hAnsi="Verdana"/>
          <w:b/>
          <w:sz w:val="24"/>
          <w:szCs w:val="24"/>
        </w:rPr>
        <w:t>Início do crime efetivo e ponto-chave da investigação</w:t>
      </w:r>
    </w:p>
    <w:p w:rsidR="001810D3" w:rsidRPr="000336BF" w:rsidRDefault="001810D3" w:rsidP="005A3F39">
      <w:pPr>
        <w:spacing w:after="0" w:line="260" w:lineRule="atLeast"/>
        <w:jc w:val="both"/>
        <w:rPr>
          <w:rFonts w:ascii="Verdana" w:hAnsi="Verdana" w:cstheme="minorHAnsi"/>
          <w:sz w:val="24"/>
          <w:szCs w:val="24"/>
        </w:rPr>
      </w:pPr>
    </w:p>
    <w:p w:rsidR="00D12291" w:rsidRPr="005A3F39" w:rsidRDefault="00D12291" w:rsidP="005A3F39">
      <w:pPr>
        <w:spacing w:after="0" w:line="260" w:lineRule="atLeast"/>
        <w:jc w:val="both"/>
        <w:rPr>
          <w:rFonts w:ascii="Verdana" w:hAnsi="Verdana" w:cstheme="minorHAnsi"/>
          <w:i/>
          <w:sz w:val="18"/>
          <w:szCs w:val="18"/>
        </w:rPr>
      </w:pPr>
      <w:r>
        <w:rPr>
          <w:rFonts w:ascii="Verdana" w:hAnsi="Verdana"/>
          <w:sz w:val="18"/>
          <w:szCs w:val="18"/>
        </w:rPr>
        <w:t>"</w:t>
      </w:r>
      <w:r>
        <w:rPr>
          <w:rFonts w:ascii="Verdana" w:hAnsi="Verdana"/>
          <w:i/>
          <w:sz w:val="18"/>
          <w:szCs w:val="18"/>
        </w:rPr>
        <w:t xml:space="preserve">O contrato exigia que a impressão dos 20.000 </w:t>
      </w:r>
      <w:r w:rsidR="0076508A">
        <w:rPr>
          <w:rFonts w:ascii="Verdana" w:hAnsi="Verdana"/>
          <w:i/>
          <w:sz w:val="18"/>
          <w:szCs w:val="18"/>
        </w:rPr>
        <w:t xml:space="preserve">exemplares </w:t>
      </w:r>
      <w:r>
        <w:rPr>
          <w:rFonts w:ascii="Verdana" w:hAnsi="Verdana"/>
          <w:i/>
          <w:sz w:val="18"/>
          <w:szCs w:val="18"/>
        </w:rPr>
        <w:t xml:space="preserve">em papel fosse concluída em sete dias. A UBP cumpriu esta obrigação um dia antes do prazo. A Divisão Comercial informou o Departamento Financeiro da UBP </w:t>
      </w:r>
      <w:r w:rsidR="0076508A">
        <w:rPr>
          <w:rFonts w:ascii="Verdana" w:hAnsi="Verdana"/>
          <w:i/>
          <w:sz w:val="18"/>
          <w:szCs w:val="18"/>
        </w:rPr>
        <w:t xml:space="preserve">de </w:t>
      </w:r>
      <w:r>
        <w:rPr>
          <w:rFonts w:ascii="Verdana" w:hAnsi="Verdana"/>
          <w:i/>
          <w:sz w:val="18"/>
          <w:szCs w:val="18"/>
        </w:rPr>
        <w:t xml:space="preserve">que o material estaria pronto para envio após o pagamento final ser recebido. </w:t>
      </w:r>
    </w:p>
    <w:p w:rsidR="00983120" w:rsidRPr="005A3F39" w:rsidRDefault="00983120" w:rsidP="005A3F39">
      <w:pPr>
        <w:spacing w:after="0" w:line="260" w:lineRule="atLeast"/>
        <w:jc w:val="both"/>
        <w:rPr>
          <w:rFonts w:ascii="Verdana" w:hAnsi="Verdana" w:cstheme="minorHAnsi"/>
          <w:i/>
          <w:sz w:val="18"/>
          <w:szCs w:val="18"/>
        </w:rPr>
      </w:pPr>
    </w:p>
    <w:p w:rsidR="00D12291" w:rsidRPr="005A3F39" w:rsidRDefault="00D12291" w:rsidP="005A3F39">
      <w:pPr>
        <w:spacing w:after="0" w:line="260" w:lineRule="atLeast"/>
        <w:jc w:val="both"/>
        <w:rPr>
          <w:rFonts w:ascii="Verdana" w:hAnsi="Verdana" w:cstheme="minorHAnsi"/>
          <w:sz w:val="18"/>
          <w:szCs w:val="18"/>
        </w:rPr>
      </w:pPr>
      <w:r>
        <w:rPr>
          <w:rFonts w:ascii="Verdana" w:hAnsi="Verdana"/>
          <w:i/>
          <w:sz w:val="18"/>
          <w:szCs w:val="18"/>
        </w:rPr>
        <w:t>O Departamento Financeiro da UBP enviou um e-mail aos seus homólogos do FBA informando-os que a encomenda estava pronta para entrega e que o pagamento final no valor de 200.000 € deveria ser efetuado no prazo de 48 horas. Nessa noite, o FBA recebeu um e-mail da UBP a informar que a conta bancária da empresa em Norland não estaria acessível durante os 3 dias seguintes, devido a um feriado nacional do país. O e-mail solicitava que o valor fosse transferido para a conta da UBP na filial de Ostland do Docklands Securities Bank of Norland"</w:t>
      </w:r>
    </w:p>
    <w:p w:rsidR="00983120" w:rsidRPr="005A3F39" w:rsidRDefault="00983120" w:rsidP="005A3F39">
      <w:pPr>
        <w:spacing w:after="0" w:line="260" w:lineRule="atLeast"/>
        <w:jc w:val="both"/>
        <w:rPr>
          <w:rFonts w:ascii="Verdana" w:hAnsi="Verdana" w:cstheme="minorHAnsi"/>
          <w:sz w:val="18"/>
          <w:szCs w:val="18"/>
        </w:rPr>
      </w:pPr>
    </w:p>
    <w:p w:rsidR="00D12291" w:rsidRPr="005A3F39" w:rsidRDefault="00B13C33" w:rsidP="005A3F39">
      <w:pPr>
        <w:spacing w:after="0" w:line="260" w:lineRule="atLeast"/>
        <w:jc w:val="both"/>
        <w:rPr>
          <w:rFonts w:ascii="Verdana" w:hAnsi="Verdana" w:cstheme="minorHAnsi"/>
          <w:sz w:val="18"/>
          <w:szCs w:val="18"/>
        </w:rPr>
      </w:pPr>
      <w:r>
        <w:rPr>
          <w:rFonts w:ascii="Verdana" w:hAnsi="Verdana"/>
          <w:i/>
          <w:sz w:val="18"/>
          <w:szCs w:val="18"/>
        </w:rPr>
        <w:t>Nota aos formadores</w:t>
      </w:r>
      <w:r>
        <w:rPr>
          <w:rFonts w:ascii="Verdana" w:hAnsi="Verdana"/>
          <w:sz w:val="18"/>
          <w:szCs w:val="18"/>
        </w:rPr>
        <w:t xml:space="preserve">: </w:t>
      </w:r>
      <w:r>
        <w:rPr>
          <w:rFonts w:ascii="Verdana" w:hAnsi="Verdana"/>
          <w:b/>
          <w:sz w:val="18"/>
          <w:szCs w:val="18"/>
        </w:rPr>
        <w:t>este deve ser reconhecido como um momento determinante da perpetração de todo o esquema.</w:t>
      </w:r>
      <w:r>
        <w:rPr>
          <w:rFonts w:ascii="Verdana" w:hAnsi="Verdana"/>
          <w:sz w:val="18"/>
          <w:szCs w:val="18"/>
        </w:rPr>
        <w:t xml:space="preserve"> O membro anteriormente mencionado do grupo de crime organizado, através de spyware, conseguiu detetar e acompanhar o desenvolvimento da transação entre o FBA e a UBP. A única ação que restava era identificar e reagir prontamente no momento do pagamento final, o que deveria ocorrer assim que a UBP informasse o FBA que a impressão do</w:t>
      </w:r>
      <w:r w:rsidR="0076508A">
        <w:rPr>
          <w:rFonts w:ascii="Verdana" w:hAnsi="Verdana"/>
          <w:sz w:val="18"/>
          <w:szCs w:val="18"/>
        </w:rPr>
        <w:t xml:space="preserve">s exemplares em </w:t>
      </w:r>
      <w:r>
        <w:rPr>
          <w:rFonts w:ascii="Verdana" w:hAnsi="Verdana"/>
          <w:sz w:val="18"/>
          <w:szCs w:val="18"/>
        </w:rPr>
        <w:t>de papel solicitad</w:t>
      </w:r>
      <w:r w:rsidR="0076508A">
        <w:rPr>
          <w:rFonts w:ascii="Verdana" w:hAnsi="Verdana"/>
          <w:sz w:val="18"/>
          <w:szCs w:val="18"/>
        </w:rPr>
        <w:t>a</w:t>
      </w:r>
      <w:r>
        <w:rPr>
          <w:rFonts w:ascii="Verdana" w:hAnsi="Verdana"/>
          <w:sz w:val="18"/>
          <w:szCs w:val="18"/>
        </w:rPr>
        <w:t xml:space="preserve"> estava concluída. </w:t>
      </w:r>
    </w:p>
    <w:p w:rsidR="00F72A93" w:rsidRPr="005A3F39" w:rsidRDefault="00F72A93" w:rsidP="005A3F39">
      <w:pPr>
        <w:spacing w:after="0" w:line="260" w:lineRule="atLeast"/>
        <w:jc w:val="both"/>
        <w:rPr>
          <w:rFonts w:ascii="Verdana" w:hAnsi="Verdana" w:cstheme="minorHAnsi"/>
          <w:sz w:val="18"/>
          <w:szCs w:val="18"/>
        </w:rPr>
      </w:pPr>
    </w:p>
    <w:p w:rsidR="00422AEB" w:rsidRPr="005A3F39" w:rsidRDefault="003137BF" w:rsidP="005A3F39">
      <w:pPr>
        <w:spacing w:after="0" w:line="260" w:lineRule="atLeast"/>
        <w:jc w:val="both"/>
        <w:rPr>
          <w:rFonts w:ascii="Verdana" w:hAnsi="Verdana" w:cstheme="minorHAnsi"/>
          <w:sz w:val="18"/>
          <w:szCs w:val="18"/>
        </w:rPr>
      </w:pPr>
      <w:r>
        <w:rPr>
          <w:rFonts w:ascii="Verdana" w:hAnsi="Verdana"/>
          <w:sz w:val="18"/>
          <w:szCs w:val="18"/>
        </w:rPr>
        <w:t xml:space="preserve">Depois de o Departamento Financeiro da UBP notificar os seus homólogos do FBA de que o pagamento deveria ser efetuado, a "toupeira" conseguiu intercetar o e-mail e notificar o resto do grupo criminoso. Juntamente com outros criminosos, </w:t>
      </w:r>
      <w:r w:rsidR="00B23EA1">
        <w:rPr>
          <w:rFonts w:ascii="Verdana" w:hAnsi="Verdana"/>
          <w:sz w:val="18"/>
          <w:szCs w:val="18"/>
        </w:rPr>
        <w:t>conseguiu assim</w:t>
      </w:r>
      <w:r>
        <w:rPr>
          <w:rFonts w:ascii="Verdana" w:hAnsi="Verdana"/>
          <w:sz w:val="18"/>
          <w:szCs w:val="18"/>
        </w:rPr>
        <w:t xml:space="preserve"> enviar faturas falsas previamente elaboradas com cabeçalhos de e-mail quase iguais aos do Departamento Financeiro da UBP</w:t>
      </w:r>
      <w:r w:rsidR="00B23EA1">
        <w:rPr>
          <w:rFonts w:ascii="Verdana" w:hAnsi="Verdana"/>
          <w:sz w:val="18"/>
          <w:szCs w:val="18"/>
        </w:rPr>
        <w:t>,</w:t>
      </w:r>
      <w:r>
        <w:rPr>
          <w:rFonts w:ascii="Verdana" w:hAnsi="Verdana"/>
          <w:sz w:val="18"/>
          <w:szCs w:val="18"/>
        </w:rPr>
        <w:t xml:space="preserve"> utilizando os serviços de servidor aberto SMTP que foram alugados antes da  perpetração do crime. </w:t>
      </w:r>
    </w:p>
    <w:p w:rsidR="00983120" w:rsidRPr="005A3F39" w:rsidRDefault="00983120" w:rsidP="005A3F39">
      <w:pPr>
        <w:spacing w:after="0" w:line="260" w:lineRule="atLeast"/>
        <w:jc w:val="both"/>
        <w:rPr>
          <w:rFonts w:ascii="Verdana" w:hAnsi="Verdana" w:cstheme="minorHAnsi"/>
          <w:sz w:val="18"/>
          <w:szCs w:val="18"/>
        </w:rPr>
      </w:pPr>
    </w:p>
    <w:p w:rsidR="00491FD7" w:rsidRPr="005A3F39" w:rsidRDefault="00422AEB" w:rsidP="005A3F39">
      <w:pPr>
        <w:spacing w:after="0" w:line="260" w:lineRule="atLeast"/>
        <w:jc w:val="both"/>
        <w:rPr>
          <w:rFonts w:ascii="Verdana" w:hAnsi="Verdana" w:cstheme="minorHAnsi"/>
          <w:sz w:val="18"/>
          <w:szCs w:val="18"/>
        </w:rPr>
      </w:pPr>
      <w:r>
        <w:rPr>
          <w:rFonts w:ascii="Verdana" w:hAnsi="Verdana"/>
          <w:b/>
          <w:sz w:val="18"/>
          <w:szCs w:val="18"/>
        </w:rPr>
        <w:t>Variante do cenário,</w:t>
      </w:r>
      <w:r>
        <w:rPr>
          <w:rFonts w:ascii="Verdana" w:hAnsi="Verdana"/>
          <w:sz w:val="18"/>
          <w:szCs w:val="18"/>
        </w:rPr>
        <w:t xml:space="preserve"> incluindo o facto de o e-mail ter sido alterado com algumas pequenas alterações ao nome real da conta de e-mail do funcionário do Departamento Financeiro da UBP, em vez de utilizar o servidor SMTP gratuito; deve ser utilizada em situações em que os formadores observam menos conhecimentos técnicos por parte dos formandos, o que pode gerar problemas na conclusão do exercício de investigação. </w:t>
      </w:r>
    </w:p>
    <w:p w:rsidR="00983120" w:rsidRPr="005A3F39" w:rsidRDefault="00983120" w:rsidP="005A3F39">
      <w:pPr>
        <w:spacing w:after="0" w:line="260" w:lineRule="atLeast"/>
        <w:jc w:val="both"/>
        <w:rPr>
          <w:rFonts w:ascii="Verdana" w:hAnsi="Verdana" w:cstheme="minorHAnsi"/>
          <w:sz w:val="18"/>
          <w:szCs w:val="18"/>
        </w:rPr>
      </w:pPr>
    </w:p>
    <w:p w:rsidR="00D12291" w:rsidRPr="005A3F39" w:rsidRDefault="00A64BC1" w:rsidP="005A3F39">
      <w:pPr>
        <w:spacing w:after="0" w:line="260" w:lineRule="atLeast"/>
        <w:jc w:val="both"/>
        <w:rPr>
          <w:rFonts w:ascii="Verdana" w:hAnsi="Verdana" w:cstheme="minorHAnsi"/>
          <w:sz w:val="18"/>
          <w:szCs w:val="18"/>
        </w:rPr>
      </w:pPr>
      <w:r>
        <w:rPr>
          <w:rFonts w:ascii="Verdana" w:hAnsi="Verdana"/>
          <w:sz w:val="18"/>
          <w:szCs w:val="18"/>
        </w:rPr>
        <w:t>Uma conta bancária sob controlo d</w:t>
      </w:r>
      <w:r w:rsidR="00B23EA1">
        <w:rPr>
          <w:rFonts w:ascii="Verdana" w:hAnsi="Verdana"/>
          <w:sz w:val="18"/>
          <w:szCs w:val="18"/>
        </w:rPr>
        <w:t>o grupo</w:t>
      </w:r>
      <w:r>
        <w:rPr>
          <w:rFonts w:ascii="Verdana" w:hAnsi="Verdana"/>
          <w:sz w:val="18"/>
          <w:szCs w:val="18"/>
        </w:rPr>
        <w:t xml:space="preserve"> criminoso foi aberta propositadamente com intenção criminosa no outro país (Ostland, neste exercício), em nome de uma empresa "fictícia" com um nome semelhante ao original (UBP, neste caso), que foi anteriormente registada junto da filial do banco principal, o que significa que a conta bancária fraudulenta foi aberta na filia</w:t>
      </w:r>
      <w:r w:rsidR="00B23EA1">
        <w:rPr>
          <w:rFonts w:ascii="Verdana" w:hAnsi="Verdana"/>
          <w:sz w:val="18"/>
          <w:szCs w:val="18"/>
        </w:rPr>
        <w:t>l</w:t>
      </w:r>
      <w:r>
        <w:rPr>
          <w:rFonts w:ascii="Verdana" w:hAnsi="Verdana"/>
          <w:sz w:val="18"/>
          <w:szCs w:val="18"/>
        </w:rPr>
        <w:t xml:space="preserve"> de Ostland do Docklands Securities Bank of Norland. A conta bancária não </w:t>
      </w:r>
      <w:r w:rsidR="00B23EA1">
        <w:rPr>
          <w:rFonts w:ascii="Verdana" w:hAnsi="Verdana"/>
          <w:sz w:val="18"/>
          <w:szCs w:val="18"/>
        </w:rPr>
        <w:t>foi nunca</w:t>
      </w:r>
      <w:r>
        <w:rPr>
          <w:rFonts w:ascii="Verdana" w:hAnsi="Verdana"/>
          <w:sz w:val="18"/>
          <w:szCs w:val="18"/>
        </w:rPr>
        <w:t xml:space="preserve"> utilizada anteriormente com o FBA e foi </w:t>
      </w:r>
      <w:r w:rsidR="00B23EA1">
        <w:rPr>
          <w:rFonts w:ascii="Verdana" w:hAnsi="Verdana"/>
          <w:sz w:val="18"/>
          <w:szCs w:val="18"/>
        </w:rPr>
        <w:t>aberta</w:t>
      </w:r>
      <w:r>
        <w:rPr>
          <w:rFonts w:ascii="Verdana" w:hAnsi="Verdana"/>
          <w:sz w:val="18"/>
          <w:szCs w:val="18"/>
        </w:rPr>
        <w:t xml:space="preserve"> pelo autor principal </w:t>
      </w:r>
      <w:r w:rsidR="00B23EA1">
        <w:rPr>
          <w:rFonts w:ascii="Verdana" w:hAnsi="Verdana"/>
          <w:sz w:val="18"/>
          <w:szCs w:val="18"/>
        </w:rPr>
        <w:t xml:space="preserve">deste projeto criminoso </w:t>
      </w:r>
      <w:r>
        <w:rPr>
          <w:rFonts w:ascii="Verdana" w:hAnsi="Verdana"/>
          <w:sz w:val="18"/>
          <w:szCs w:val="18"/>
        </w:rPr>
        <w:t xml:space="preserve">e pelos </w:t>
      </w:r>
      <w:r w:rsidR="00B23EA1">
        <w:rPr>
          <w:rFonts w:ascii="Verdana" w:hAnsi="Verdana"/>
          <w:sz w:val="18"/>
          <w:szCs w:val="18"/>
        </w:rPr>
        <w:t xml:space="preserve">seus </w:t>
      </w:r>
      <w:r>
        <w:rPr>
          <w:rFonts w:ascii="Verdana" w:hAnsi="Verdana"/>
          <w:sz w:val="18"/>
          <w:szCs w:val="18"/>
        </w:rPr>
        <w:t xml:space="preserve">cúmplices. Os dados utilizados durante o processo de registo foram forjados e eram quase idênticos aos originais, </w:t>
      </w:r>
      <w:r w:rsidR="009C2240">
        <w:rPr>
          <w:rFonts w:ascii="Verdana" w:hAnsi="Verdana"/>
          <w:sz w:val="18"/>
          <w:szCs w:val="18"/>
        </w:rPr>
        <w:t xml:space="preserve">neles se incluindo </w:t>
      </w:r>
      <w:r>
        <w:rPr>
          <w:rFonts w:ascii="Verdana" w:hAnsi="Verdana"/>
          <w:sz w:val="18"/>
          <w:szCs w:val="18"/>
        </w:rPr>
        <w:t xml:space="preserve">detalhes </w:t>
      </w:r>
      <w:r w:rsidR="009C2240">
        <w:rPr>
          <w:rFonts w:ascii="Verdana" w:hAnsi="Verdana"/>
          <w:sz w:val="18"/>
          <w:szCs w:val="18"/>
        </w:rPr>
        <w:t>de</w:t>
      </w:r>
      <w:r>
        <w:rPr>
          <w:rFonts w:ascii="Verdana" w:hAnsi="Verdana"/>
          <w:sz w:val="18"/>
          <w:szCs w:val="18"/>
        </w:rPr>
        <w:t xml:space="preserve"> funcionários do Departamento Financeiro do FBA.</w:t>
      </w:r>
    </w:p>
    <w:p w:rsidR="00983120" w:rsidRPr="005A3F39" w:rsidRDefault="00983120" w:rsidP="005A3F39">
      <w:pPr>
        <w:spacing w:after="0" w:line="260" w:lineRule="atLeast"/>
        <w:jc w:val="both"/>
        <w:rPr>
          <w:rFonts w:ascii="Verdana" w:hAnsi="Verdana" w:cstheme="minorHAnsi"/>
          <w:sz w:val="18"/>
          <w:szCs w:val="18"/>
        </w:rPr>
      </w:pPr>
    </w:p>
    <w:p w:rsidR="00DD161C" w:rsidRDefault="00255036" w:rsidP="005A3F39">
      <w:pPr>
        <w:spacing w:after="0" w:line="260" w:lineRule="atLeast"/>
        <w:jc w:val="both"/>
        <w:rPr>
          <w:rFonts w:ascii="Verdana" w:hAnsi="Verdana" w:cstheme="minorHAnsi"/>
          <w:sz w:val="18"/>
          <w:szCs w:val="18"/>
        </w:rPr>
      </w:pPr>
      <w:r>
        <w:rPr>
          <w:rFonts w:ascii="Verdana" w:hAnsi="Verdana"/>
          <w:sz w:val="18"/>
          <w:szCs w:val="18"/>
        </w:rPr>
        <w:t>Todo o esquema assumiu um caráter mais urgente devido ao feriado nacional de Norland. Os criminosos aproveitaram este facto para justificar a mudança da conta bancária. Deste ponto em diante, estava tudo montado.</w:t>
      </w:r>
    </w:p>
    <w:p w:rsidR="00CD5342" w:rsidRPr="005A3F39" w:rsidRDefault="00CD5342" w:rsidP="005A3F39">
      <w:pPr>
        <w:spacing w:after="0" w:line="260" w:lineRule="atLeast"/>
        <w:jc w:val="both"/>
        <w:rPr>
          <w:rFonts w:ascii="Verdana" w:hAnsi="Verdana" w:cstheme="minorHAnsi"/>
          <w:sz w:val="18"/>
          <w:szCs w:val="18"/>
        </w:rPr>
      </w:pPr>
    </w:p>
    <w:p w:rsidR="00DD161C" w:rsidRPr="005A3F39" w:rsidRDefault="00DD161C" w:rsidP="005A3F39">
      <w:pPr>
        <w:spacing w:after="0" w:line="260" w:lineRule="atLeast"/>
        <w:jc w:val="both"/>
        <w:rPr>
          <w:rFonts w:ascii="Verdana" w:hAnsi="Verdana" w:cstheme="minorHAnsi"/>
          <w:b/>
          <w:sz w:val="18"/>
          <w:szCs w:val="18"/>
        </w:rPr>
      </w:pPr>
      <w:r>
        <w:rPr>
          <w:rFonts w:ascii="Verdana" w:hAnsi="Verdana"/>
          <w:b/>
          <w:sz w:val="18"/>
          <w:szCs w:val="18"/>
        </w:rPr>
        <w:t xml:space="preserve">Factos principais: </w:t>
      </w:r>
    </w:p>
    <w:p w:rsidR="00DD161C" w:rsidRPr="00F44225" w:rsidRDefault="00DD161C" w:rsidP="00F44225">
      <w:pPr>
        <w:pStyle w:val="ListParagraph"/>
        <w:numPr>
          <w:ilvl w:val="0"/>
          <w:numId w:val="23"/>
        </w:numPr>
        <w:spacing w:after="0" w:line="260" w:lineRule="atLeast"/>
        <w:jc w:val="both"/>
        <w:rPr>
          <w:rFonts w:ascii="Verdana" w:hAnsi="Verdana" w:cstheme="minorHAnsi"/>
          <w:i/>
          <w:sz w:val="18"/>
          <w:szCs w:val="18"/>
        </w:rPr>
      </w:pPr>
      <w:r>
        <w:rPr>
          <w:rFonts w:ascii="Verdana" w:hAnsi="Verdana"/>
          <w:i/>
          <w:sz w:val="18"/>
          <w:szCs w:val="18"/>
        </w:rPr>
        <w:t xml:space="preserve">A impressão efetiva do material em papel foi feita e a UBP notificou </w:t>
      </w:r>
      <w:r w:rsidR="009C2240">
        <w:rPr>
          <w:rFonts w:ascii="Verdana" w:hAnsi="Verdana"/>
          <w:i/>
          <w:sz w:val="18"/>
          <w:szCs w:val="18"/>
        </w:rPr>
        <w:t>d</w:t>
      </w:r>
      <w:r>
        <w:rPr>
          <w:rFonts w:ascii="Verdana" w:hAnsi="Verdana"/>
          <w:i/>
          <w:sz w:val="18"/>
          <w:szCs w:val="18"/>
        </w:rPr>
        <w:t>es</w:t>
      </w:r>
      <w:r w:rsidR="009C2240">
        <w:rPr>
          <w:rFonts w:ascii="Verdana" w:hAnsi="Verdana"/>
          <w:i/>
          <w:sz w:val="18"/>
          <w:szCs w:val="18"/>
        </w:rPr>
        <w:t>t</w:t>
      </w:r>
      <w:r>
        <w:rPr>
          <w:rFonts w:ascii="Verdana" w:hAnsi="Verdana"/>
          <w:i/>
          <w:sz w:val="18"/>
          <w:szCs w:val="18"/>
        </w:rPr>
        <w:t>e facto</w:t>
      </w:r>
      <w:r w:rsidR="009C2240">
        <w:rPr>
          <w:rFonts w:ascii="Verdana" w:hAnsi="Verdana"/>
          <w:i/>
          <w:sz w:val="18"/>
          <w:szCs w:val="18"/>
        </w:rPr>
        <w:t xml:space="preserve"> </w:t>
      </w:r>
      <w:r>
        <w:rPr>
          <w:rFonts w:ascii="Verdana" w:hAnsi="Verdana"/>
          <w:i/>
          <w:sz w:val="18"/>
          <w:szCs w:val="18"/>
        </w:rPr>
        <w:t>o FBA</w:t>
      </w:r>
      <w:r w:rsidR="009C2240">
        <w:rPr>
          <w:rFonts w:ascii="Verdana" w:hAnsi="Verdana"/>
          <w:i/>
          <w:sz w:val="18"/>
          <w:szCs w:val="18"/>
        </w:rPr>
        <w:t>, a quem</w:t>
      </w:r>
      <w:r>
        <w:rPr>
          <w:rFonts w:ascii="Verdana" w:hAnsi="Verdana"/>
          <w:i/>
          <w:sz w:val="18"/>
          <w:szCs w:val="18"/>
        </w:rPr>
        <w:t xml:space="preserve"> solicitou o pagamento devido;</w:t>
      </w:r>
    </w:p>
    <w:p w:rsidR="00DD161C" w:rsidRPr="00F44225" w:rsidRDefault="00DD161C" w:rsidP="00F44225">
      <w:pPr>
        <w:pStyle w:val="ListParagraph"/>
        <w:numPr>
          <w:ilvl w:val="0"/>
          <w:numId w:val="23"/>
        </w:numPr>
        <w:spacing w:after="0" w:line="260" w:lineRule="atLeast"/>
        <w:jc w:val="both"/>
        <w:rPr>
          <w:rFonts w:ascii="Verdana" w:hAnsi="Verdana" w:cstheme="minorHAnsi"/>
          <w:i/>
          <w:sz w:val="18"/>
          <w:szCs w:val="18"/>
        </w:rPr>
      </w:pPr>
      <w:r>
        <w:rPr>
          <w:rFonts w:ascii="Verdana" w:hAnsi="Verdana"/>
          <w:i/>
          <w:sz w:val="18"/>
          <w:szCs w:val="18"/>
        </w:rPr>
        <w:lastRenderedPageBreak/>
        <w:t xml:space="preserve">O membro infiltrado do grupo de crime organizado, através de spyware, detetou os momentos finais </w:t>
      </w:r>
      <w:r w:rsidR="009C2240">
        <w:rPr>
          <w:rFonts w:ascii="Verdana" w:hAnsi="Verdana"/>
          <w:i/>
          <w:sz w:val="18"/>
          <w:szCs w:val="18"/>
        </w:rPr>
        <w:t>da execução</w:t>
      </w:r>
      <w:r>
        <w:rPr>
          <w:rFonts w:ascii="Verdana" w:hAnsi="Verdana"/>
          <w:i/>
          <w:sz w:val="18"/>
          <w:szCs w:val="18"/>
        </w:rPr>
        <w:t xml:space="preserve"> do negócio;</w:t>
      </w:r>
    </w:p>
    <w:p w:rsidR="00DD161C" w:rsidRPr="00F44225" w:rsidRDefault="00DD161C" w:rsidP="00F44225">
      <w:pPr>
        <w:pStyle w:val="ListParagraph"/>
        <w:numPr>
          <w:ilvl w:val="0"/>
          <w:numId w:val="23"/>
        </w:numPr>
        <w:spacing w:after="0" w:line="260" w:lineRule="atLeast"/>
        <w:jc w:val="both"/>
        <w:rPr>
          <w:rFonts w:ascii="Verdana" w:hAnsi="Verdana" w:cstheme="minorHAnsi"/>
          <w:i/>
          <w:sz w:val="18"/>
          <w:szCs w:val="18"/>
        </w:rPr>
      </w:pPr>
      <w:r>
        <w:rPr>
          <w:rFonts w:ascii="Verdana" w:hAnsi="Verdana"/>
          <w:i/>
          <w:sz w:val="18"/>
          <w:szCs w:val="18"/>
        </w:rPr>
        <w:t>O grupo registou-se como empresa "fictícia" em Ostland e abriu uma conta bancária comercial nesse país junto da filial do banco utilizada em operações regulares da UBP em Norland;</w:t>
      </w:r>
    </w:p>
    <w:p w:rsidR="00DD161C" w:rsidRPr="00F44225" w:rsidRDefault="00DD161C" w:rsidP="00F44225">
      <w:pPr>
        <w:pStyle w:val="ListParagraph"/>
        <w:numPr>
          <w:ilvl w:val="0"/>
          <w:numId w:val="23"/>
        </w:numPr>
        <w:spacing w:after="0" w:line="260" w:lineRule="atLeast"/>
        <w:jc w:val="both"/>
        <w:rPr>
          <w:rFonts w:ascii="Verdana" w:hAnsi="Verdana" w:cstheme="minorHAnsi"/>
          <w:i/>
          <w:sz w:val="18"/>
          <w:szCs w:val="18"/>
        </w:rPr>
      </w:pPr>
      <w:r>
        <w:rPr>
          <w:rFonts w:ascii="Verdana" w:hAnsi="Verdana"/>
          <w:i/>
          <w:sz w:val="18"/>
          <w:szCs w:val="18"/>
        </w:rPr>
        <w:t>Falsa documentação, incluindo as principais partes da mesma – foi elaborada uma fatura falsa, além do servidor de e-mails e os e-mails;</w:t>
      </w:r>
    </w:p>
    <w:p w:rsidR="00DD161C" w:rsidRPr="00F44225" w:rsidRDefault="00795990" w:rsidP="00F44225">
      <w:pPr>
        <w:pStyle w:val="ListParagraph"/>
        <w:numPr>
          <w:ilvl w:val="0"/>
          <w:numId w:val="23"/>
        </w:numPr>
        <w:spacing w:after="0" w:line="260" w:lineRule="atLeast"/>
        <w:jc w:val="both"/>
        <w:rPr>
          <w:rFonts w:ascii="Verdana" w:hAnsi="Verdana" w:cstheme="minorHAnsi"/>
          <w:i/>
          <w:sz w:val="18"/>
          <w:szCs w:val="18"/>
        </w:rPr>
      </w:pPr>
      <w:r>
        <w:rPr>
          <w:rFonts w:ascii="Verdana" w:hAnsi="Verdana"/>
          <w:i/>
          <w:sz w:val="18"/>
          <w:szCs w:val="18"/>
        </w:rPr>
        <w:t>O servidor SMTP aberto foi alugado e testado para envio de e-mails falsos (ou pode ser utilizado um exemplo de uma conta de webmail com uma pequena alteração ao nome da conta de e-mail, consoante as habilidades do formador);</w:t>
      </w:r>
    </w:p>
    <w:p w:rsidR="00C948B3" w:rsidRPr="00F44225" w:rsidRDefault="00C948B3" w:rsidP="00F44225">
      <w:pPr>
        <w:pStyle w:val="ListParagraph"/>
        <w:numPr>
          <w:ilvl w:val="0"/>
          <w:numId w:val="23"/>
        </w:numPr>
        <w:spacing w:after="0" w:line="260" w:lineRule="atLeast"/>
        <w:jc w:val="both"/>
        <w:rPr>
          <w:rFonts w:ascii="Verdana" w:hAnsi="Verdana" w:cstheme="minorHAnsi"/>
          <w:i/>
          <w:sz w:val="18"/>
          <w:szCs w:val="18"/>
        </w:rPr>
      </w:pPr>
      <w:r>
        <w:rPr>
          <w:rFonts w:ascii="Verdana" w:hAnsi="Verdana"/>
          <w:i/>
          <w:sz w:val="18"/>
          <w:szCs w:val="18"/>
        </w:rPr>
        <w:t>Os serviços do servidor de correio SMTP abertos foram pagos em Bitcoins (ou num exemplo de caso de webmail, sem ele);</w:t>
      </w:r>
    </w:p>
    <w:p w:rsidR="0060150B" w:rsidRDefault="00795990" w:rsidP="00F44225">
      <w:pPr>
        <w:pStyle w:val="ListParagraph"/>
        <w:numPr>
          <w:ilvl w:val="0"/>
          <w:numId w:val="23"/>
        </w:numPr>
        <w:spacing w:after="0" w:line="260" w:lineRule="atLeast"/>
        <w:jc w:val="both"/>
        <w:rPr>
          <w:rFonts w:ascii="Verdana" w:hAnsi="Verdana" w:cstheme="minorHAnsi"/>
          <w:i/>
          <w:sz w:val="18"/>
          <w:szCs w:val="18"/>
        </w:rPr>
      </w:pPr>
      <w:r>
        <w:rPr>
          <w:rFonts w:ascii="Verdana" w:hAnsi="Verdana"/>
          <w:i/>
          <w:sz w:val="18"/>
          <w:szCs w:val="18"/>
        </w:rPr>
        <w:t>Foram elaborados e-mails falsos, incluindo os nomes das pessoas do Departamento Financeiro, detalhes sobre o contrato e o idioma que foram utilizados anteriormente;</w:t>
      </w:r>
    </w:p>
    <w:p w:rsidR="00F44225" w:rsidRDefault="00F44225" w:rsidP="00F44225">
      <w:pPr>
        <w:spacing w:after="0" w:line="260" w:lineRule="atLeast"/>
        <w:jc w:val="both"/>
        <w:rPr>
          <w:rFonts w:ascii="Verdana" w:hAnsi="Verdana" w:cstheme="minorHAnsi"/>
          <w:sz w:val="18"/>
          <w:szCs w:val="18"/>
        </w:rPr>
      </w:pPr>
    </w:p>
    <w:p w:rsidR="00453298" w:rsidRDefault="00453298" w:rsidP="00453298">
      <w:pPr>
        <w:pStyle w:val="paragraph"/>
        <w:spacing w:before="0" w:beforeAutospacing="0" w:after="0" w:afterAutospacing="0" w:line="260" w:lineRule="atLeast"/>
        <w:jc w:val="both"/>
        <w:textAlignment w:val="baseline"/>
        <w:rPr>
          <w:rStyle w:val="eop"/>
          <w:rFonts w:asciiTheme="minorHAnsi" w:eastAsiaTheme="minorHAnsi" w:hAnsiTheme="minorHAnsi" w:cstheme="minorBidi"/>
          <w:sz w:val="22"/>
          <w:szCs w:val="22"/>
        </w:rPr>
      </w:pPr>
      <w:r>
        <w:rPr>
          <w:rStyle w:val="eop"/>
          <w:rFonts w:ascii="Verdana" w:hAnsi="Verdana"/>
          <w:b/>
          <w:sz w:val="18"/>
          <w:szCs w:val="18"/>
        </w:rPr>
        <w:t>Material a ser utilizado no estudo de caso</w:t>
      </w:r>
      <w:r>
        <w:rPr>
          <w:rStyle w:val="eop"/>
          <w:rFonts w:ascii="Verdana" w:hAnsi="Verdana"/>
          <w:sz w:val="18"/>
          <w:szCs w:val="18"/>
        </w:rPr>
        <w:t>:</w:t>
      </w:r>
    </w:p>
    <w:p w:rsidR="00453298" w:rsidRPr="004B7A6F" w:rsidRDefault="00453298" w:rsidP="00453298">
      <w:pPr>
        <w:pStyle w:val="paragraph"/>
        <w:spacing w:before="0" w:beforeAutospacing="0" w:after="0" w:afterAutospacing="0" w:line="260" w:lineRule="atLeast"/>
        <w:jc w:val="both"/>
        <w:textAlignment w:val="baseline"/>
        <w:rPr>
          <w:rStyle w:val="eop"/>
        </w:rPr>
      </w:pPr>
    </w:p>
    <w:p w:rsidR="00453298" w:rsidRPr="004B7A6F"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Pr>
          <w:rFonts w:ascii="Verdana" w:hAnsi="Verdana"/>
          <w:i/>
          <w:sz w:val="18"/>
          <w:szCs w:val="18"/>
        </w:rPr>
        <w:t xml:space="preserve">Pasta </w:t>
      </w:r>
      <w:r>
        <w:rPr>
          <w:rStyle w:val="eop"/>
          <w:rFonts w:ascii="Verdana" w:hAnsi="Verdana"/>
          <w:i/>
          <w:sz w:val="18"/>
          <w:szCs w:val="18"/>
        </w:rPr>
        <w:t>“Dia 2/2.2.3 Exercício de investigação/Provas/E-mails"</w:t>
      </w:r>
      <w:r>
        <w:rPr>
          <w:rFonts w:ascii="Verdana" w:hAnsi="Verdana"/>
          <w:sz w:val="18"/>
          <w:szCs w:val="18"/>
        </w:rPr>
        <w:t>:</w:t>
      </w:r>
    </w:p>
    <w:p w:rsidR="00453298" w:rsidRPr="004B7A6F" w:rsidRDefault="00453298" w:rsidP="00453298">
      <w:pPr>
        <w:pStyle w:val="paragraph"/>
        <w:numPr>
          <w:ilvl w:val="0"/>
          <w:numId w:val="27"/>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9.º e-mail;</w:t>
      </w:r>
    </w:p>
    <w:p w:rsidR="00453298" w:rsidRDefault="00453298" w:rsidP="00453298">
      <w:pPr>
        <w:pStyle w:val="paragraph"/>
        <w:numPr>
          <w:ilvl w:val="0"/>
          <w:numId w:val="27"/>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10.º e-mail.</w:t>
      </w:r>
    </w:p>
    <w:p w:rsidR="00453298" w:rsidRPr="004B7A6F" w:rsidRDefault="00453298" w:rsidP="00453298">
      <w:pPr>
        <w:pStyle w:val="paragraph"/>
        <w:spacing w:before="0" w:beforeAutospacing="0" w:after="0" w:afterAutospacing="0" w:line="260" w:lineRule="atLeast"/>
        <w:ind w:left="360"/>
        <w:jc w:val="both"/>
        <w:textAlignment w:val="baseline"/>
        <w:rPr>
          <w:rFonts w:ascii="Verdana" w:hAnsi="Verdana" w:cstheme="minorHAnsi"/>
          <w:sz w:val="18"/>
          <w:szCs w:val="18"/>
        </w:rPr>
      </w:pPr>
    </w:p>
    <w:p w:rsidR="00453298" w:rsidRPr="00453298"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Pr>
          <w:rFonts w:ascii="Verdana" w:hAnsi="Verdana"/>
          <w:i/>
          <w:sz w:val="18"/>
          <w:szCs w:val="18"/>
        </w:rPr>
        <w:t>Pasta "</w:t>
      </w:r>
      <w:r>
        <w:rPr>
          <w:rStyle w:val="eop"/>
          <w:rFonts w:ascii="Verdana" w:hAnsi="Verdana"/>
          <w:i/>
          <w:sz w:val="18"/>
          <w:szCs w:val="18"/>
        </w:rPr>
        <w:t>Dia 2/2.2.3 Exercício de investigação/Provas</w:t>
      </w:r>
      <w:r>
        <w:rPr>
          <w:rFonts w:ascii="Verdana" w:hAnsi="Verdana"/>
          <w:i/>
          <w:sz w:val="18"/>
          <w:szCs w:val="18"/>
        </w:rPr>
        <w:t>/Extratos bancários"</w:t>
      </w:r>
      <w:r>
        <w:rPr>
          <w:rFonts w:ascii="Verdana" w:hAnsi="Verdana"/>
          <w:sz w:val="18"/>
          <w:szCs w:val="18"/>
        </w:rPr>
        <w:t>:</w:t>
      </w:r>
    </w:p>
    <w:p w:rsidR="00453298" w:rsidRDefault="00453298" w:rsidP="00453298">
      <w:pPr>
        <w:pStyle w:val="paragraph"/>
        <w:numPr>
          <w:ilvl w:val="0"/>
          <w:numId w:val="31"/>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Fatura falsa da UBP</w:t>
      </w:r>
    </w:p>
    <w:p w:rsidR="00453298" w:rsidRPr="004B7A6F" w:rsidRDefault="00453298" w:rsidP="00453298">
      <w:pPr>
        <w:pStyle w:val="paragraph"/>
        <w:spacing w:before="0" w:beforeAutospacing="0" w:after="0" w:afterAutospacing="0" w:line="260" w:lineRule="atLeast"/>
        <w:ind w:left="720"/>
        <w:jc w:val="both"/>
        <w:textAlignment w:val="baseline"/>
        <w:rPr>
          <w:rFonts w:ascii="Verdana" w:hAnsi="Verdana" w:cstheme="minorHAnsi"/>
          <w:sz w:val="18"/>
          <w:szCs w:val="18"/>
        </w:rPr>
      </w:pPr>
    </w:p>
    <w:p w:rsidR="00453298" w:rsidRPr="004B7A6F"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Pr>
          <w:rFonts w:ascii="Verdana" w:hAnsi="Verdana"/>
          <w:i/>
          <w:sz w:val="18"/>
          <w:szCs w:val="18"/>
        </w:rPr>
        <w:t>Pasta "</w:t>
      </w:r>
      <w:r>
        <w:rPr>
          <w:rStyle w:val="eop"/>
          <w:rFonts w:ascii="Verdana" w:hAnsi="Verdana"/>
          <w:i/>
          <w:sz w:val="18"/>
          <w:szCs w:val="18"/>
        </w:rPr>
        <w:t>Dia 2/2.2.3 Exercício de investigação/Provas/</w:t>
      </w:r>
      <w:r>
        <w:rPr>
          <w:rStyle w:val="normaltextrun"/>
          <w:rFonts w:ascii="Verdana" w:hAnsi="Verdana"/>
          <w:i/>
          <w:sz w:val="18"/>
          <w:szCs w:val="18"/>
        </w:rPr>
        <w:t>Documentos e relatórios</w:t>
      </w:r>
      <w:r>
        <w:rPr>
          <w:rFonts w:ascii="Verdana" w:hAnsi="Verdana"/>
          <w:i/>
          <w:sz w:val="18"/>
          <w:szCs w:val="18"/>
        </w:rPr>
        <w:t>":</w:t>
      </w:r>
    </w:p>
    <w:p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Registo da empresa fictícia UBP em Ostland;</w:t>
      </w:r>
    </w:p>
    <w:p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 xml:space="preserve">Registo de uma conta bancária da empresa fictícia </w:t>
      </w:r>
      <w:r w:rsidR="009C2240">
        <w:rPr>
          <w:rFonts w:ascii="Verdana" w:hAnsi="Verdana"/>
          <w:sz w:val="18"/>
          <w:szCs w:val="18"/>
        </w:rPr>
        <w:t xml:space="preserve">UBP no </w:t>
      </w:r>
      <w:r>
        <w:rPr>
          <w:rFonts w:ascii="Verdana" w:hAnsi="Verdana"/>
          <w:sz w:val="18"/>
          <w:szCs w:val="18"/>
        </w:rPr>
        <w:t>DSBN em Ostland;</w:t>
      </w:r>
    </w:p>
    <w:p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Relatório de resultados da verificação de software anti-spyware;</w:t>
      </w:r>
    </w:p>
    <w:p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Relatório de rastreamento da rede do servidor SMTP;</w:t>
      </w:r>
    </w:p>
    <w:p w:rsidR="00453298"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Relatório de pagamento por Bitcoins da empresa de servidores SMTP</w:t>
      </w:r>
    </w:p>
    <w:p w:rsidR="00453298" w:rsidRPr="004B7A6F" w:rsidRDefault="00453298" w:rsidP="00453298">
      <w:pPr>
        <w:pStyle w:val="paragraph"/>
        <w:spacing w:before="0" w:beforeAutospacing="0" w:after="0" w:afterAutospacing="0" w:line="260" w:lineRule="atLeast"/>
        <w:jc w:val="both"/>
        <w:textAlignment w:val="baseline"/>
        <w:rPr>
          <w:rFonts w:ascii="Verdana" w:hAnsi="Verdana" w:cstheme="minorHAnsi"/>
          <w:sz w:val="18"/>
          <w:szCs w:val="18"/>
        </w:rPr>
      </w:pPr>
    </w:p>
    <w:p w:rsidR="00453298" w:rsidRPr="004B7A6F"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Pr>
          <w:rFonts w:ascii="Verdana" w:hAnsi="Verdana"/>
          <w:i/>
          <w:sz w:val="18"/>
          <w:szCs w:val="18"/>
        </w:rPr>
        <w:t>Pasta "</w:t>
      </w:r>
      <w:r>
        <w:rPr>
          <w:rStyle w:val="eop"/>
          <w:rFonts w:ascii="Verdana" w:hAnsi="Verdana"/>
          <w:i/>
          <w:sz w:val="18"/>
          <w:szCs w:val="18"/>
        </w:rPr>
        <w:t>Dia 2/2.2.3 Exercício de investigação/Provas/</w:t>
      </w:r>
      <w:r>
        <w:rPr>
          <w:rFonts w:ascii="Verdana" w:hAnsi="Verdana"/>
          <w:i/>
          <w:sz w:val="18"/>
          <w:szCs w:val="18"/>
        </w:rPr>
        <w:t>Depoimentos de testemunhas</w:t>
      </w:r>
      <w:r>
        <w:rPr>
          <w:rFonts w:ascii="Verdana" w:hAnsi="Verdana"/>
          <w:sz w:val="18"/>
          <w:szCs w:val="18"/>
        </w:rPr>
        <w:t>":</w:t>
      </w:r>
    </w:p>
    <w:p w:rsidR="00453298" w:rsidRPr="004B7A6F" w:rsidRDefault="00453298" w:rsidP="00453298">
      <w:pPr>
        <w:pStyle w:val="paragraph"/>
        <w:numPr>
          <w:ilvl w:val="0"/>
          <w:numId w:val="32"/>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Depoimento do Departamento de TI do FBA.</w:t>
      </w:r>
    </w:p>
    <w:p w:rsidR="00453298" w:rsidRPr="00453298" w:rsidRDefault="00453298" w:rsidP="00F44225">
      <w:pPr>
        <w:spacing w:after="0" w:line="260" w:lineRule="atLeast"/>
        <w:jc w:val="both"/>
        <w:rPr>
          <w:rFonts w:ascii="Verdana" w:hAnsi="Verdana" w:cstheme="minorHAnsi"/>
          <w:sz w:val="18"/>
          <w:szCs w:val="18"/>
        </w:rPr>
      </w:pPr>
    </w:p>
    <w:p w:rsidR="0060150B" w:rsidRDefault="0060150B" w:rsidP="005A3F39">
      <w:pPr>
        <w:spacing w:after="0" w:line="260" w:lineRule="atLeast"/>
        <w:jc w:val="both"/>
        <w:rPr>
          <w:rFonts w:ascii="Verdana" w:hAnsi="Verdana" w:cstheme="minorHAnsi"/>
          <w:sz w:val="18"/>
          <w:szCs w:val="18"/>
        </w:rPr>
      </w:pPr>
      <w:r>
        <w:rPr>
          <w:rFonts w:ascii="Verdana" w:hAnsi="Verdana"/>
          <w:b/>
          <w:sz w:val="18"/>
          <w:szCs w:val="18"/>
        </w:rPr>
        <w:t>Possíveis perguntas para os formandos</w:t>
      </w:r>
      <w:r>
        <w:rPr>
          <w:rFonts w:ascii="Verdana" w:hAnsi="Verdana"/>
          <w:sz w:val="18"/>
          <w:szCs w:val="18"/>
        </w:rPr>
        <w:t>:</w:t>
      </w:r>
    </w:p>
    <w:p w:rsidR="00795990" w:rsidRPr="00F44225" w:rsidRDefault="00795990" w:rsidP="0023192E">
      <w:pPr>
        <w:pStyle w:val="ListParagraph"/>
        <w:numPr>
          <w:ilvl w:val="0"/>
          <w:numId w:val="33"/>
        </w:numPr>
        <w:spacing w:after="0" w:line="260" w:lineRule="atLeast"/>
        <w:jc w:val="both"/>
        <w:rPr>
          <w:rFonts w:ascii="Verdana" w:hAnsi="Verdana" w:cstheme="minorHAnsi"/>
          <w:i/>
          <w:sz w:val="18"/>
          <w:szCs w:val="18"/>
        </w:rPr>
      </w:pPr>
      <w:r>
        <w:rPr>
          <w:rFonts w:ascii="Verdana" w:hAnsi="Verdana"/>
          <w:i/>
          <w:sz w:val="18"/>
          <w:szCs w:val="18"/>
        </w:rPr>
        <w:t>Como é que as informações sobre a finalização do negócio foram adquiridas e como se pode recuperá-las, se possível?</w:t>
      </w:r>
    </w:p>
    <w:p w:rsidR="00795990" w:rsidRPr="00F44225" w:rsidRDefault="00795990" w:rsidP="0023192E">
      <w:pPr>
        <w:pStyle w:val="ListParagraph"/>
        <w:numPr>
          <w:ilvl w:val="0"/>
          <w:numId w:val="33"/>
        </w:numPr>
        <w:spacing w:after="0" w:line="260" w:lineRule="atLeast"/>
        <w:jc w:val="both"/>
        <w:rPr>
          <w:rFonts w:ascii="Verdana" w:hAnsi="Verdana" w:cstheme="minorHAnsi"/>
          <w:i/>
          <w:sz w:val="18"/>
          <w:szCs w:val="18"/>
        </w:rPr>
      </w:pPr>
      <w:r>
        <w:rPr>
          <w:rFonts w:ascii="Verdana" w:hAnsi="Verdana"/>
          <w:i/>
          <w:sz w:val="18"/>
          <w:szCs w:val="18"/>
        </w:rPr>
        <w:t>Como se pode</w:t>
      </w:r>
      <w:r w:rsidR="009C2240">
        <w:rPr>
          <w:rFonts w:ascii="Verdana" w:hAnsi="Verdana"/>
          <w:i/>
          <w:sz w:val="18"/>
          <w:szCs w:val="18"/>
        </w:rPr>
        <w:t>m</w:t>
      </w:r>
      <w:r>
        <w:rPr>
          <w:rFonts w:ascii="Verdana" w:hAnsi="Verdana"/>
          <w:i/>
          <w:sz w:val="18"/>
          <w:szCs w:val="18"/>
        </w:rPr>
        <w:t xml:space="preserve"> obter informações sobre a empresa "fictícia" e detalhes da conta bancária em Ostland?</w:t>
      </w:r>
    </w:p>
    <w:p w:rsidR="00795990" w:rsidRPr="00F44225" w:rsidRDefault="00795990" w:rsidP="0023192E">
      <w:pPr>
        <w:pStyle w:val="ListParagraph"/>
        <w:numPr>
          <w:ilvl w:val="0"/>
          <w:numId w:val="33"/>
        </w:numPr>
        <w:spacing w:after="0" w:line="260" w:lineRule="atLeast"/>
        <w:jc w:val="both"/>
        <w:rPr>
          <w:rFonts w:ascii="Verdana" w:hAnsi="Verdana" w:cstheme="minorHAnsi"/>
          <w:i/>
          <w:sz w:val="18"/>
          <w:szCs w:val="18"/>
        </w:rPr>
      </w:pPr>
      <w:r>
        <w:rPr>
          <w:rFonts w:ascii="Verdana" w:hAnsi="Verdana"/>
          <w:i/>
          <w:sz w:val="18"/>
          <w:szCs w:val="18"/>
        </w:rPr>
        <w:t>Que tipo de informação deve ser solicitada à filial de Ostland e de que forma?</w:t>
      </w:r>
    </w:p>
    <w:p w:rsidR="00795990" w:rsidRPr="00F44225" w:rsidRDefault="00545B3E" w:rsidP="0023192E">
      <w:pPr>
        <w:pStyle w:val="ListParagraph"/>
        <w:numPr>
          <w:ilvl w:val="0"/>
          <w:numId w:val="33"/>
        </w:numPr>
        <w:spacing w:after="0" w:line="260" w:lineRule="atLeast"/>
        <w:jc w:val="both"/>
        <w:rPr>
          <w:rFonts w:ascii="Verdana" w:hAnsi="Verdana" w:cstheme="minorHAnsi"/>
          <w:i/>
          <w:sz w:val="18"/>
          <w:szCs w:val="18"/>
        </w:rPr>
      </w:pPr>
      <w:r>
        <w:rPr>
          <w:rFonts w:ascii="Verdana" w:hAnsi="Verdana"/>
          <w:i/>
          <w:sz w:val="18"/>
          <w:szCs w:val="18"/>
        </w:rPr>
        <w:t xml:space="preserve">Algumas das informações são urgentemente necessárias e justificar-se-á, por esse motivo, a ativação do ponto de contacto permanente da rede </w:t>
      </w:r>
      <w:r w:rsidR="00890014">
        <w:rPr>
          <w:rFonts w:ascii="Verdana" w:hAnsi="Verdana"/>
          <w:i/>
          <w:sz w:val="18"/>
          <w:szCs w:val="18"/>
        </w:rPr>
        <w:t xml:space="preserve">24/7 </w:t>
      </w:r>
      <w:r>
        <w:rPr>
          <w:rFonts w:ascii="Verdana" w:hAnsi="Verdana"/>
          <w:i/>
          <w:sz w:val="18"/>
          <w:szCs w:val="18"/>
        </w:rPr>
        <w:t xml:space="preserve">do Conselho </w:t>
      </w:r>
      <w:r w:rsidR="00890014">
        <w:rPr>
          <w:rFonts w:ascii="Verdana" w:hAnsi="Verdana"/>
          <w:i/>
          <w:sz w:val="18"/>
          <w:szCs w:val="18"/>
        </w:rPr>
        <w:t xml:space="preserve">da </w:t>
      </w:r>
      <w:r>
        <w:rPr>
          <w:rFonts w:ascii="Verdana" w:hAnsi="Verdana"/>
          <w:i/>
          <w:sz w:val="18"/>
          <w:szCs w:val="18"/>
        </w:rPr>
        <w:t>Europ</w:t>
      </w:r>
      <w:r w:rsidR="00890014">
        <w:rPr>
          <w:rFonts w:ascii="Verdana" w:hAnsi="Verdana"/>
          <w:i/>
          <w:sz w:val="18"/>
          <w:szCs w:val="18"/>
        </w:rPr>
        <w:t>a</w:t>
      </w:r>
      <w:r>
        <w:rPr>
          <w:rFonts w:ascii="Verdana" w:hAnsi="Verdana"/>
          <w:i/>
          <w:sz w:val="18"/>
          <w:szCs w:val="18"/>
        </w:rPr>
        <w:t>?</w:t>
      </w:r>
    </w:p>
    <w:p w:rsidR="00795990" w:rsidRPr="005A3F39" w:rsidRDefault="00795990" w:rsidP="0023192E">
      <w:pPr>
        <w:pStyle w:val="ListParagraph"/>
        <w:numPr>
          <w:ilvl w:val="0"/>
          <w:numId w:val="33"/>
        </w:numPr>
        <w:spacing w:after="0" w:line="260" w:lineRule="atLeast"/>
        <w:jc w:val="both"/>
        <w:rPr>
          <w:rFonts w:ascii="Verdana" w:hAnsi="Verdana" w:cstheme="minorHAnsi"/>
          <w:i/>
          <w:sz w:val="18"/>
          <w:szCs w:val="18"/>
        </w:rPr>
      </w:pPr>
      <w:r>
        <w:rPr>
          <w:rFonts w:ascii="Verdana" w:hAnsi="Verdana"/>
          <w:i/>
          <w:sz w:val="18"/>
          <w:szCs w:val="18"/>
        </w:rPr>
        <w:t>Como se pode</w:t>
      </w:r>
      <w:r w:rsidR="00890014">
        <w:rPr>
          <w:rFonts w:ascii="Verdana" w:hAnsi="Verdana"/>
          <w:i/>
          <w:sz w:val="18"/>
          <w:szCs w:val="18"/>
        </w:rPr>
        <w:t>m</w:t>
      </w:r>
      <w:r>
        <w:rPr>
          <w:rFonts w:ascii="Verdana" w:hAnsi="Verdana"/>
          <w:i/>
          <w:sz w:val="18"/>
          <w:szCs w:val="18"/>
        </w:rPr>
        <w:t xml:space="preserve"> obter provas sobre documentação falsa/forjada e como analisá-las?</w:t>
      </w:r>
    </w:p>
    <w:p w:rsidR="00795990" w:rsidRPr="005A3F39" w:rsidRDefault="00795990" w:rsidP="0023192E">
      <w:pPr>
        <w:pStyle w:val="ListParagraph"/>
        <w:numPr>
          <w:ilvl w:val="0"/>
          <w:numId w:val="33"/>
        </w:numPr>
        <w:spacing w:after="0" w:line="260" w:lineRule="atLeast"/>
        <w:jc w:val="both"/>
        <w:rPr>
          <w:rFonts w:ascii="Verdana" w:hAnsi="Verdana" w:cstheme="minorHAnsi"/>
          <w:i/>
          <w:sz w:val="18"/>
          <w:szCs w:val="18"/>
        </w:rPr>
      </w:pPr>
      <w:r>
        <w:rPr>
          <w:rFonts w:ascii="Verdana" w:hAnsi="Verdana"/>
          <w:i/>
          <w:sz w:val="18"/>
          <w:szCs w:val="18"/>
        </w:rPr>
        <w:t>Como se pode</w:t>
      </w:r>
      <w:r w:rsidR="00890014">
        <w:rPr>
          <w:rFonts w:ascii="Verdana" w:hAnsi="Verdana"/>
          <w:i/>
          <w:sz w:val="18"/>
          <w:szCs w:val="18"/>
        </w:rPr>
        <w:t>m</w:t>
      </w:r>
      <w:r>
        <w:rPr>
          <w:rFonts w:ascii="Verdana" w:hAnsi="Verdana"/>
          <w:i/>
          <w:sz w:val="18"/>
          <w:szCs w:val="18"/>
        </w:rPr>
        <w:t xml:space="preserve"> obter informações sobre o servidor SMTP aberto (ou informações da empresa de e-mails baseada na web) e o que pode ser revelado a partir disso?</w:t>
      </w:r>
    </w:p>
    <w:p w:rsidR="00C948B3" w:rsidRPr="005A3F39" w:rsidRDefault="00C948B3" w:rsidP="0023192E">
      <w:pPr>
        <w:pStyle w:val="ListParagraph"/>
        <w:numPr>
          <w:ilvl w:val="0"/>
          <w:numId w:val="33"/>
        </w:numPr>
        <w:spacing w:after="0" w:line="260" w:lineRule="atLeast"/>
        <w:jc w:val="both"/>
        <w:rPr>
          <w:rFonts w:ascii="Verdana" w:hAnsi="Verdana" w:cstheme="minorHAnsi"/>
          <w:i/>
          <w:sz w:val="18"/>
          <w:szCs w:val="18"/>
        </w:rPr>
      </w:pPr>
      <w:r>
        <w:rPr>
          <w:rFonts w:ascii="Verdana" w:hAnsi="Verdana"/>
          <w:i/>
          <w:sz w:val="18"/>
          <w:szCs w:val="18"/>
        </w:rPr>
        <w:t>O que são Bitcoins, como é que foram utilizadas e de que forma podem ser utilizadas como provas eletrónicas?</w:t>
      </w:r>
    </w:p>
    <w:p w:rsidR="0083729E" w:rsidRPr="005A3F39" w:rsidRDefault="0083729E" w:rsidP="0023192E">
      <w:pPr>
        <w:pStyle w:val="ListParagraph"/>
        <w:numPr>
          <w:ilvl w:val="0"/>
          <w:numId w:val="33"/>
        </w:numPr>
        <w:spacing w:after="0" w:line="260" w:lineRule="atLeast"/>
        <w:jc w:val="both"/>
        <w:rPr>
          <w:rFonts w:ascii="Verdana" w:hAnsi="Verdana" w:cstheme="minorHAnsi"/>
          <w:i/>
          <w:sz w:val="18"/>
          <w:szCs w:val="18"/>
        </w:rPr>
      </w:pPr>
      <w:r>
        <w:rPr>
          <w:rFonts w:ascii="Verdana" w:hAnsi="Verdana"/>
          <w:i/>
          <w:sz w:val="18"/>
          <w:szCs w:val="18"/>
        </w:rPr>
        <w:t>Qual é o resumo que se pode concluir relativamente às provas eletrónicas?</w:t>
      </w:r>
    </w:p>
    <w:p w:rsidR="0083729E" w:rsidRPr="005A3F39" w:rsidRDefault="0083729E" w:rsidP="005A3F39">
      <w:pPr>
        <w:spacing w:after="0" w:line="260" w:lineRule="atLeast"/>
        <w:jc w:val="both"/>
        <w:rPr>
          <w:rFonts w:ascii="Verdana" w:hAnsi="Verdana" w:cstheme="minorHAnsi"/>
          <w:sz w:val="18"/>
          <w:szCs w:val="18"/>
        </w:rPr>
      </w:pPr>
    </w:p>
    <w:p w:rsidR="00983120" w:rsidRPr="005A3F39" w:rsidRDefault="00983120" w:rsidP="005A3F39">
      <w:pPr>
        <w:spacing w:after="0" w:line="260" w:lineRule="atLeast"/>
        <w:jc w:val="both"/>
        <w:rPr>
          <w:rFonts w:ascii="Verdana" w:hAnsi="Verdana" w:cstheme="minorHAnsi"/>
          <w:sz w:val="18"/>
          <w:szCs w:val="18"/>
        </w:rPr>
      </w:pPr>
    </w:p>
    <w:p w:rsidR="0083729E" w:rsidRDefault="0083729E" w:rsidP="005A3F39">
      <w:pPr>
        <w:spacing w:after="0" w:line="260" w:lineRule="atLeast"/>
        <w:jc w:val="both"/>
        <w:rPr>
          <w:rFonts w:ascii="Verdana" w:hAnsi="Verdana" w:cstheme="minorHAnsi"/>
          <w:b/>
          <w:sz w:val="24"/>
          <w:szCs w:val="24"/>
        </w:rPr>
      </w:pPr>
      <w:r>
        <w:rPr>
          <w:rFonts w:ascii="Verdana" w:hAnsi="Verdana"/>
          <w:b/>
          <w:sz w:val="24"/>
          <w:szCs w:val="24"/>
        </w:rPr>
        <w:lastRenderedPageBreak/>
        <w:t>5.</w:t>
      </w:r>
      <w:r>
        <w:rPr>
          <w:rFonts w:ascii="Verdana" w:hAnsi="Verdana"/>
          <w:sz w:val="24"/>
          <w:szCs w:val="24"/>
        </w:rPr>
        <w:t xml:space="preserve"> </w:t>
      </w:r>
      <w:r>
        <w:rPr>
          <w:rFonts w:ascii="Verdana" w:hAnsi="Verdana"/>
          <w:b/>
          <w:sz w:val="24"/>
          <w:szCs w:val="24"/>
        </w:rPr>
        <w:t>Fim do crime e início do processo</w:t>
      </w:r>
    </w:p>
    <w:p w:rsidR="004A218D" w:rsidRPr="004A218D" w:rsidRDefault="004A218D" w:rsidP="005A3F39">
      <w:pPr>
        <w:spacing w:after="0" w:line="260" w:lineRule="atLeast"/>
        <w:jc w:val="both"/>
        <w:rPr>
          <w:rFonts w:ascii="Verdana" w:hAnsi="Verdana" w:cstheme="minorHAnsi"/>
          <w:sz w:val="24"/>
          <w:szCs w:val="24"/>
        </w:rPr>
      </w:pPr>
    </w:p>
    <w:p w:rsidR="0083729E" w:rsidRDefault="0083729E" w:rsidP="005A3F39">
      <w:pPr>
        <w:spacing w:after="0" w:line="260" w:lineRule="atLeast"/>
        <w:jc w:val="both"/>
        <w:rPr>
          <w:rFonts w:ascii="Verdana" w:hAnsi="Verdana" w:cstheme="minorHAnsi"/>
          <w:i/>
          <w:sz w:val="18"/>
          <w:szCs w:val="18"/>
        </w:rPr>
      </w:pPr>
      <w:r>
        <w:rPr>
          <w:rFonts w:ascii="Verdana" w:hAnsi="Verdana"/>
          <w:sz w:val="18"/>
          <w:szCs w:val="18"/>
        </w:rPr>
        <w:t>"</w:t>
      </w:r>
      <w:r>
        <w:rPr>
          <w:rFonts w:ascii="Verdana" w:hAnsi="Verdana"/>
          <w:i/>
          <w:sz w:val="18"/>
          <w:szCs w:val="18"/>
        </w:rPr>
        <w:t xml:space="preserve">No dia útil seguinte, o Departamento Financeiro do FBA estava pronto para transferir o dinheiro. O Diretor Financeiro autorizou a transferência dos restantes 200.000 €, que foram transferidos para a </w:t>
      </w:r>
      <w:r w:rsidR="00890014">
        <w:rPr>
          <w:rFonts w:ascii="Verdana" w:hAnsi="Verdana"/>
          <w:i/>
          <w:sz w:val="18"/>
          <w:szCs w:val="18"/>
        </w:rPr>
        <w:t xml:space="preserve">suposta </w:t>
      </w:r>
      <w:r>
        <w:rPr>
          <w:rFonts w:ascii="Verdana" w:hAnsi="Verdana"/>
          <w:i/>
          <w:sz w:val="18"/>
          <w:szCs w:val="18"/>
        </w:rPr>
        <w:t>conta bancária da UBP em Ostland.</w:t>
      </w:r>
    </w:p>
    <w:p w:rsidR="00825AC9" w:rsidRPr="005A3F39" w:rsidRDefault="00825AC9" w:rsidP="005A3F39">
      <w:pPr>
        <w:spacing w:after="0" w:line="260" w:lineRule="atLeast"/>
        <w:jc w:val="both"/>
        <w:rPr>
          <w:rFonts w:ascii="Verdana" w:hAnsi="Verdana" w:cstheme="minorHAnsi"/>
          <w:i/>
          <w:sz w:val="18"/>
          <w:szCs w:val="18"/>
        </w:rPr>
      </w:pPr>
    </w:p>
    <w:p w:rsidR="0083729E" w:rsidRDefault="0083729E" w:rsidP="005A3F39">
      <w:pPr>
        <w:spacing w:after="0" w:line="260" w:lineRule="atLeast"/>
        <w:jc w:val="both"/>
        <w:rPr>
          <w:rFonts w:ascii="Verdana" w:hAnsi="Verdana" w:cstheme="minorHAnsi"/>
          <w:i/>
          <w:sz w:val="18"/>
          <w:szCs w:val="18"/>
        </w:rPr>
      </w:pPr>
      <w:r>
        <w:rPr>
          <w:rFonts w:ascii="Verdana" w:hAnsi="Verdana"/>
          <w:i/>
          <w:sz w:val="18"/>
          <w:szCs w:val="18"/>
        </w:rPr>
        <w:t xml:space="preserve">Na manhã do vencimento do prazo de 48 horas, o Departamento Financeiro da UBP contactou os seus homólogos do FBA e solicitou o pagamento imediato do valor devido. O FBA informou a UBP de que o pagamento já tinha sido efetuado e que aguardava a entrega dos materiais. Como um aparte, o FBA felicitou a UBP pelo feriado nacional. </w:t>
      </w:r>
    </w:p>
    <w:p w:rsidR="00825AC9" w:rsidRPr="005A3F39" w:rsidRDefault="00825AC9" w:rsidP="005A3F39">
      <w:pPr>
        <w:spacing w:after="0" w:line="260" w:lineRule="atLeast"/>
        <w:jc w:val="both"/>
        <w:rPr>
          <w:rFonts w:ascii="Verdana" w:hAnsi="Verdana" w:cstheme="minorHAnsi"/>
          <w:i/>
          <w:sz w:val="18"/>
          <w:szCs w:val="18"/>
        </w:rPr>
      </w:pPr>
    </w:p>
    <w:p w:rsidR="0083729E" w:rsidRDefault="0083729E" w:rsidP="005A3F39">
      <w:pPr>
        <w:spacing w:after="0" w:line="260" w:lineRule="atLeast"/>
        <w:jc w:val="both"/>
        <w:rPr>
          <w:rFonts w:ascii="Verdana" w:hAnsi="Verdana" w:cstheme="minorHAnsi"/>
          <w:sz w:val="18"/>
          <w:szCs w:val="18"/>
        </w:rPr>
      </w:pPr>
      <w:r>
        <w:rPr>
          <w:rFonts w:ascii="Verdana" w:hAnsi="Verdana"/>
          <w:i/>
          <w:sz w:val="18"/>
          <w:szCs w:val="18"/>
        </w:rPr>
        <w:t xml:space="preserve">O Departamento Financeiro da UBP conferiu a sua conta bancária e respondeu à FBA dizendo que não foi recebido qualquer pagamento. Também perguntaram porque é que a UBP estava a felicitá-los por um feriado </w:t>
      </w:r>
      <w:r w:rsidR="00890014">
        <w:rPr>
          <w:rFonts w:ascii="Verdana" w:hAnsi="Verdana"/>
          <w:i/>
          <w:sz w:val="18"/>
          <w:szCs w:val="18"/>
        </w:rPr>
        <w:t>nacional</w:t>
      </w:r>
      <w:r>
        <w:rPr>
          <w:rFonts w:ascii="Verdana" w:hAnsi="Verdana"/>
          <w:i/>
          <w:sz w:val="18"/>
          <w:szCs w:val="18"/>
        </w:rPr>
        <w:t>, quando faltavam dois meses para o próximo feriado".</w:t>
      </w:r>
    </w:p>
    <w:p w:rsidR="00825AC9" w:rsidRPr="005A3F39" w:rsidRDefault="00825AC9" w:rsidP="005A3F39">
      <w:pPr>
        <w:spacing w:after="0" w:line="260" w:lineRule="atLeast"/>
        <w:jc w:val="both"/>
        <w:rPr>
          <w:rFonts w:ascii="Verdana" w:hAnsi="Verdana" w:cstheme="minorHAnsi"/>
          <w:sz w:val="18"/>
          <w:szCs w:val="18"/>
        </w:rPr>
      </w:pPr>
    </w:p>
    <w:p w:rsidR="00C700EF" w:rsidRPr="00825AC9" w:rsidRDefault="00825AC9" w:rsidP="005A3F39">
      <w:pPr>
        <w:spacing w:after="0" w:line="260" w:lineRule="atLeast"/>
        <w:jc w:val="both"/>
        <w:rPr>
          <w:rFonts w:ascii="Verdana" w:hAnsi="Verdana" w:cstheme="minorHAnsi"/>
          <w:b/>
          <w:sz w:val="18"/>
          <w:szCs w:val="18"/>
        </w:rPr>
      </w:pPr>
      <w:r>
        <w:rPr>
          <w:rFonts w:ascii="Verdana" w:hAnsi="Verdana"/>
          <w:i/>
          <w:sz w:val="18"/>
          <w:szCs w:val="18"/>
        </w:rPr>
        <w:t>Nota aos formadores</w:t>
      </w:r>
      <w:r>
        <w:rPr>
          <w:rFonts w:ascii="Verdana" w:hAnsi="Verdana"/>
          <w:sz w:val="18"/>
          <w:szCs w:val="18"/>
        </w:rPr>
        <w:t xml:space="preserve">: </w:t>
      </w:r>
      <w:r>
        <w:rPr>
          <w:rFonts w:ascii="Verdana" w:hAnsi="Verdana"/>
          <w:b/>
          <w:sz w:val="18"/>
          <w:szCs w:val="18"/>
        </w:rPr>
        <w:t>a finalização do esquema ocorreu no dia seguinte, quando o Diretor Financeiro do FBA autorizou a transferência bancária com base em documentos apresentados anteriormente: correio falso da UBP com uma fatura falsa que continha a conta bancária falsa</w:t>
      </w:r>
      <w:r w:rsidR="00890014">
        <w:rPr>
          <w:rFonts w:ascii="Verdana" w:hAnsi="Verdana"/>
          <w:b/>
          <w:sz w:val="18"/>
          <w:szCs w:val="18"/>
        </w:rPr>
        <w:t>, noutro</w:t>
      </w:r>
      <w:r>
        <w:rPr>
          <w:rFonts w:ascii="Verdana" w:hAnsi="Verdana"/>
          <w:b/>
          <w:sz w:val="18"/>
          <w:szCs w:val="18"/>
        </w:rPr>
        <w:t xml:space="preserve"> no país</w:t>
      </w:r>
      <w:r w:rsidR="00890014">
        <w:rPr>
          <w:rFonts w:ascii="Verdana" w:hAnsi="Verdana"/>
          <w:b/>
          <w:sz w:val="18"/>
          <w:szCs w:val="18"/>
        </w:rPr>
        <w:t>,</w:t>
      </w:r>
      <w:r>
        <w:rPr>
          <w:rFonts w:ascii="Verdana" w:hAnsi="Verdana"/>
          <w:b/>
          <w:sz w:val="18"/>
          <w:szCs w:val="18"/>
        </w:rPr>
        <w:t xml:space="preserve"> desconhecid</w:t>
      </w:r>
      <w:r w:rsidR="00890014">
        <w:rPr>
          <w:rFonts w:ascii="Verdana" w:hAnsi="Verdana"/>
          <w:b/>
          <w:sz w:val="18"/>
          <w:szCs w:val="18"/>
        </w:rPr>
        <w:t>a</w:t>
      </w:r>
      <w:r>
        <w:rPr>
          <w:rFonts w:ascii="Verdana" w:hAnsi="Verdana"/>
          <w:b/>
          <w:sz w:val="18"/>
          <w:szCs w:val="18"/>
        </w:rPr>
        <w:t xml:space="preserve"> tanto pelo FBA como pela UBP. </w:t>
      </w:r>
    </w:p>
    <w:p w:rsidR="00825AC9" w:rsidRPr="005A3F39" w:rsidRDefault="00825AC9" w:rsidP="005A3F39">
      <w:pPr>
        <w:spacing w:after="0" w:line="260" w:lineRule="atLeast"/>
        <w:jc w:val="both"/>
        <w:rPr>
          <w:rFonts w:ascii="Verdana" w:hAnsi="Verdana" w:cstheme="minorHAnsi"/>
          <w:sz w:val="18"/>
          <w:szCs w:val="18"/>
        </w:rPr>
      </w:pPr>
    </w:p>
    <w:p w:rsidR="003D6E80" w:rsidRDefault="006B2889" w:rsidP="005A3F39">
      <w:pPr>
        <w:spacing w:after="0" w:line="260" w:lineRule="atLeast"/>
        <w:jc w:val="both"/>
        <w:rPr>
          <w:rFonts w:ascii="Verdana" w:hAnsi="Verdana" w:cstheme="minorHAnsi"/>
          <w:sz w:val="18"/>
          <w:szCs w:val="18"/>
        </w:rPr>
      </w:pPr>
      <w:r>
        <w:rPr>
          <w:rFonts w:ascii="Verdana" w:hAnsi="Verdana"/>
          <w:sz w:val="18"/>
          <w:szCs w:val="18"/>
        </w:rPr>
        <w:t xml:space="preserve">Naquele exato momento, a fraude foi cometida. 200.000 EUR foram transferidos para a conta fraudulenta. Dependendo do desenvolvimento do cenário, os formadores podem criar transações adicionais entre a conta bancária em Ostland e as contas bancárias que se encontram noutros países pertencentes às partes estatutárias da Convenção de Budapeste ou não, como exercício de acompanhamento de transações online através de uma investigação financeira efetiva e de testes de conhecimento sobre o procedimento de assistência jurídica mútua. </w:t>
      </w:r>
    </w:p>
    <w:p w:rsidR="00825AC9" w:rsidRPr="005A3F39" w:rsidRDefault="00825AC9" w:rsidP="005A3F39">
      <w:pPr>
        <w:spacing w:after="0" w:line="260" w:lineRule="atLeast"/>
        <w:jc w:val="both"/>
        <w:rPr>
          <w:rFonts w:ascii="Verdana" w:hAnsi="Verdana" w:cstheme="minorHAnsi"/>
          <w:sz w:val="18"/>
          <w:szCs w:val="18"/>
        </w:rPr>
      </w:pPr>
    </w:p>
    <w:p w:rsidR="006B2889" w:rsidRDefault="003D6E80" w:rsidP="005A3F39">
      <w:pPr>
        <w:spacing w:after="0" w:line="260" w:lineRule="atLeast"/>
        <w:jc w:val="both"/>
        <w:rPr>
          <w:rFonts w:ascii="Verdana" w:hAnsi="Verdana" w:cstheme="minorHAnsi"/>
          <w:sz w:val="18"/>
          <w:szCs w:val="18"/>
        </w:rPr>
      </w:pPr>
      <w:r>
        <w:rPr>
          <w:rFonts w:ascii="Verdana" w:hAnsi="Verdana"/>
          <w:sz w:val="18"/>
          <w:szCs w:val="18"/>
        </w:rPr>
        <w:t>Ao critério dos formadores</w:t>
      </w:r>
      <w:r w:rsidR="00890014">
        <w:rPr>
          <w:rFonts w:ascii="Verdana" w:hAnsi="Verdana"/>
          <w:sz w:val="18"/>
          <w:szCs w:val="18"/>
        </w:rPr>
        <w:t xml:space="preserve"> fica ainda determinar que</w:t>
      </w:r>
      <w:r>
        <w:rPr>
          <w:rFonts w:ascii="Verdana" w:hAnsi="Verdana"/>
          <w:sz w:val="18"/>
          <w:szCs w:val="18"/>
        </w:rPr>
        <w:t xml:space="preserve"> o fim </w:t>
      </w:r>
      <w:r w:rsidR="00890014">
        <w:rPr>
          <w:rFonts w:ascii="Verdana" w:hAnsi="Verdana"/>
          <w:sz w:val="18"/>
          <w:szCs w:val="18"/>
        </w:rPr>
        <w:t xml:space="preserve">último </w:t>
      </w:r>
      <w:r>
        <w:rPr>
          <w:rFonts w:ascii="Verdana" w:hAnsi="Verdana"/>
          <w:sz w:val="18"/>
          <w:szCs w:val="18"/>
        </w:rPr>
        <w:t>das transferências bancárias po</w:t>
      </w:r>
      <w:r w:rsidR="00890014">
        <w:rPr>
          <w:rFonts w:ascii="Verdana" w:hAnsi="Verdana"/>
          <w:sz w:val="18"/>
          <w:szCs w:val="18"/>
        </w:rPr>
        <w:t>ssa</w:t>
      </w:r>
      <w:r>
        <w:rPr>
          <w:rFonts w:ascii="Verdana" w:hAnsi="Verdana"/>
          <w:sz w:val="18"/>
          <w:szCs w:val="18"/>
        </w:rPr>
        <w:t xml:space="preserve"> ser </w:t>
      </w:r>
      <w:r w:rsidR="00890014">
        <w:rPr>
          <w:rFonts w:ascii="Verdana" w:hAnsi="Verdana"/>
          <w:sz w:val="18"/>
          <w:szCs w:val="18"/>
        </w:rPr>
        <w:t>em</w:t>
      </w:r>
      <w:r>
        <w:rPr>
          <w:rFonts w:ascii="Verdana" w:hAnsi="Verdana"/>
          <w:sz w:val="18"/>
          <w:szCs w:val="18"/>
        </w:rPr>
        <w:t xml:space="preserve"> país </w:t>
      </w:r>
      <w:r w:rsidR="00890014">
        <w:rPr>
          <w:rFonts w:ascii="Verdana" w:hAnsi="Verdana"/>
          <w:sz w:val="18"/>
          <w:szCs w:val="18"/>
        </w:rPr>
        <w:t xml:space="preserve">que seja Estado Parte </w:t>
      </w:r>
      <w:r>
        <w:rPr>
          <w:rFonts w:ascii="Verdana" w:hAnsi="Verdana"/>
          <w:sz w:val="18"/>
          <w:szCs w:val="18"/>
        </w:rPr>
        <w:t xml:space="preserve">da Convenção de Budapeste ou não. No segundo caso, provavelmente os vestígios e provas finais serão perdidos ou não poderão ser recuperados. No entanto, ambos os exemplos podem ser úteis para os formandos. </w:t>
      </w:r>
    </w:p>
    <w:p w:rsidR="00825AC9" w:rsidRPr="005A3F39" w:rsidRDefault="00825AC9" w:rsidP="005A3F39">
      <w:pPr>
        <w:spacing w:after="0" w:line="260" w:lineRule="atLeast"/>
        <w:jc w:val="both"/>
        <w:rPr>
          <w:rFonts w:ascii="Verdana" w:hAnsi="Verdana" w:cstheme="minorHAnsi"/>
          <w:sz w:val="18"/>
          <w:szCs w:val="18"/>
        </w:rPr>
      </w:pPr>
    </w:p>
    <w:p w:rsidR="006B2889" w:rsidRPr="005A3F39" w:rsidRDefault="006B2889" w:rsidP="005A3F39">
      <w:pPr>
        <w:spacing w:after="0" w:line="260" w:lineRule="atLeast"/>
        <w:jc w:val="both"/>
        <w:rPr>
          <w:rFonts w:ascii="Verdana" w:hAnsi="Verdana" w:cstheme="minorHAnsi"/>
          <w:b/>
          <w:sz w:val="18"/>
          <w:szCs w:val="18"/>
        </w:rPr>
      </w:pPr>
      <w:r>
        <w:rPr>
          <w:rFonts w:ascii="Verdana" w:hAnsi="Verdana"/>
          <w:b/>
          <w:sz w:val="18"/>
          <w:szCs w:val="18"/>
        </w:rPr>
        <w:t>Factos principais:</w:t>
      </w:r>
    </w:p>
    <w:p w:rsidR="006B2889" w:rsidRPr="00825AC9" w:rsidRDefault="00BB5741" w:rsidP="00825AC9">
      <w:pPr>
        <w:pStyle w:val="ListParagraph"/>
        <w:numPr>
          <w:ilvl w:val="0"/>
          <w:numId w:val="34"/>
        </w:numPr>
        <w:spacing w:after="0" w:line="260" w:lineRule="atLeast"/>
        <w:jc w:val="both"/>
        <w:rPr>
          <w:rFonts w:ascii="Verdana" w:hAnsi="Verdana" w:cstheme="minorHAnsi"/>
          <w:i/>
          <w:sz w:val="18"/>
          <w:szCs w:val="18"/>
        </w:rPr>
      </w:pPr>
      <w:r>
        <w:rPr>
          <w:rFonts w:ascii="Verdana" w:hAnsi="Verdana"/>
          <w:i/>
          <w:sz w:val="18"/>
          <w:szCs w:val="18"/>
        </w:rPr>
        <w:t>O Diretor Financeiro do FBA autoriza a transferência com base em documentos apresentados anteriormente;</w:t>
      </w:r>
    </w:p>
    <w:p w:rsidR="00BB5741" w:rsidRPr="00825AC9" w:rsidRDefault="00BB5741" w:rsidP="00825AC9">
      <w:pPr>
        <w:pStyle w:val="ListParagraph"/>
        <w:numPr>
          <w:ilvl w:val="0"/>
          <w:numId w:val="34"/>
        </w:numPr>
        <w:spacing w:after="0" w:line="260" w:lineRule="atLeast"/>
        <w:jc w:val="both"/>
        <w:rPr>
          <w:rFonts w:ascii="Verdana" w:hAnsi="Verdana" w:cstheme="minorHAnsi"/>
          <w:i/>
          <w:sz w:val="18"/>
          <w:szCs w:val="18"/>
        </w:rPr>
      </w:pPr>
      <w:r>
        <w:rPr>
          <w:rFonts w:ascii="Verdana" w:hAnsi="Verdana"/>
          <w:i/>
          <w:sz w:val="18"/>
          <w:szCs w:val="18"/>
        </w:rPr>
        <w:t>O documento constitui correio falso da UBP com uma fatura falsa que indicava a conta bancária falsa;</w:t>
      </w:r>
    </w:p>
    <w:p w:rsidR="00F43D7D" w:rsidRDefault="00BB5741" w:rsidP="00825AC9">
      <w:pPr>
        <w:pStyle w:val="ListParagraph"/>
        <w:numPr>
          <w:ilvl w:val="0"/>
          <w:numId w:val="34"/>
        </w:numPr>
        <w:spacing w:after="0" w:line="260" w:lineRule="atLeast"/>
        <w:jc w:val="both"/>
        <w:rPr>
          <w:rFonts w:ascii="Verdana" w:hAnsi="Verdana" w:cstheme="minorHAnsi"/>
          <w:i/>
          <w:sz w:val="18"/>
          <w:szCs w:val="18"/>
        </w:rPr>
      </w:pPr>
      <w:r>
        <w:rPr>
          <w:rFonts w:ascii="Verdana" w:hAnsi="Verdana"/>
          <w:i/>
          <w:sz w:val="18"/>
          <w:szCs w:val="18"/>
        </w:rPr>
        <w:t xml:space="preserve">200.000 EUR foram transferidos. Consoante as necessidades locais de formação, as transferências bancárias podem ser continuadas para outros países ou interrompidas. Além disso, a transferência final pode ser destinada a país </w:t>
      </w:r>
      <w:r w:rsidR="00457B88">
        <w:rPr>
          <w:rFonts w:ascii="Verdana" w:hAnsi="Verdana"/>
          <w:i/>
          <w:sz w:val="18"/>
          <w:szCs w:val="18"/>
        </w:rPr>
        <w:t xml:space="preserve">que seja Parte </w:t>
      </w:r>
      <w:r>
        <w:rPr>
          <w:rFonts w:ascii="Verdana" w:hAnsi="Verdana"/>
          <w:i/>
          <w:sz w:val="18"/>
          <w:szCs w:val="18"/>
        </w:rPr>
        <w:t>da Convenção de Budapeste ou a outro país</w:t>
      </w:r>
      <w:r w:rsidR="00457B88">
        <w:rPr>
          <w:rFonts w:ascii="Verdana" w:hAnsi="Verdana"/>
          <w:i/>
          <w:sz w:val="18"/>
          <w:szCs w:val="18"/>
        </w:rPr>
        <w:t>, terceiro</w:t>
      </w:r>
      <w:r>
        <w:rPr>
          <w:rFonts w:ascii="Verdana" w:hAnsi="Verdana"/>
          <w:i/>
          <w:sz w:val="18"/>
          <w:szCs w:val="18"/>
        </w:rPr>
        <w:t>;</w:t>
      </w:r>
    </w:p>
    <w:p w:rsidR="00825AC9" w:rsidRDefault="00825AC9" w:rsidP="00825AC9">
      <w:pPr>
        <w:spacing w:after="0" w:line="260" w:lineRule="atLeast"/>
        <w:jc w:val="both"/>
        <w:rPr>
          <w:rFonts w:ascii="Verdana" w:hAnsi="Verdana" w:cstheme="minorHAnsi"/>
          <w:i/>
          <w:sz w:val="18"/>
          <w:szCs w:val="18"/>
        </w:rPr>
      </w:pPr>
    </w:p>
    <w:p w:rsidR="00825AC9" w:rsidRPr="004B7A6F" w:rsidRDefault="00825AC9" w:rsidP="00825AC9">
      <w:pPr>
        <w:pStyle w:val="paragraph"/>
        <w:spacing w:before="0" w:beforeAutospacing="0" w:after="0" w:afterAutospacing="0" w:line="260" w:lineRule="atLeast"/>
        <w:jc w:val="both"/>
        <w:textAlignment w:val="baseline"/>
        <w:rPr>
          <w:rStyle w:val="eop"/>
          <w:rFonts w:asciiTheme="minorHAnsi" w:eastAsiaTheme="minorHAnsi" w:hAnsiTheme="minorHAnsi" w:cstheme="minorBidi"/>
          <w:sz w:val="22"/>
          <w:szCs w:val="22"/>
        </w:rPr>
      </w:pPr>
      <w:r>
        <w:rPr>
          <w:rStyle w:val="eop"/>
          <w:rFonts w:ascii="Verdana" w:hAnsi="Verdana"/>
          <w:b/>
          <w:sz w:val="18"/>
          <w:szCs w:val="18"/>
        </w:rPr>
        <w:t>Material a ser utilizado no estudo de caso</w:t>
      </w:r>
      <w:r>
        <w:rPr>
          <w:rStyle w:val="eop"/>
          <w:rFonts w:ascii="Verdana" w:hAnsi="Verdana"/>
          <w:sz w:val="18"/>
          <w:szCs w:val="18"/>
        </w:rPr>
        <w:t>:</w:t>
      </w:r>
    </w:p>
    <w:p w:rsidR="00825AC9" w:rsidRPr="004B7A6F" w:rsidRDefault="00825AC9" w:rsidP="00825AC9">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Pr>
          <w:rFonts w:ascii="Verdana" w:hAnsi="Verdana"/>
          <w:i/>
          <w:sz w:val="18"/>
          <w:szCs w:val="18"/>
        </w:rPr>
        <w:t>Pasta "</w:t>
      </w:r>
      <w:r>
        <w:rPr>
          <w:rStyle w:val="eop"/>
          <w:rFonts w:ascii="Verdana" w:hAnsi="Verdana"/>
          <w:i/>
          <w:sz w:val="18"/>
          <w:szCs w:val="18"/>
        </w:rPr>
        <w:t>Dia 2/2.2.3 Exercício de investigação/Provas/E-mails</w:t>
      </w:r>
      <w:r>
        <w:rPr>
          <w:rFonts w:ascii="Verdana" w:hAnsi="Verdana"/>
          <w:i/>
          <w:sz w:val="18"/>
          <w:szCs w:val="18"/>
        </w:rPr>
        <w:t>":</w:t>
      </w:r>
    </w:p>
    <w:p w:rsidR="00825AC9" w:rsidRPr="004B7A6F" w:rsidRDefault="00825AC9" w:rsidP="00825AC9">
      <w:pPr>
        <w:pStyle w:val="paragraph"/>
        <w:numPr>
          <w:ilvl w:val="0"/>
          <w:numId w:val="35"/>
        </w:numPr>
        <w:spacing w:before="0" w:beforeAutospacing="0" w:after="0" w:afterAutospacing="0" w:line="260" w:lineRule="atLeast"/>
        <w:jc w:val="both"/>
        <w:textAlignment w:val="baseline"/>
        <w:rPr>
          <w:rFonts w:ascii="Verdana" w:hAnsi="Verdana" w:cstheme="minorHAnsi"/>
          <w:b/>
          <w:bCs/>
          <w:sz w:val="18"/>
          <w:szCs w:val="18"/>
        </w:rPr>
      </w:pPr>
      <w:r>
        <w:rPr>
          <w:rFonts w:ascii="Verdana" w:hAnsi="Verdana"/>
          <w:sz w:val="18"/>
          <w:szCs w:val="18"/>
        </w:rPr>
        <w:t>9.º e-mail;</w:t>
      </w:r>
    </w:p>
    <w:p w:rsidR="00825AC9" w:rsidRPr="004B7A6F" w:rsidRDefault="00825AC9" w:rsidP="00825AC9">
      <w:pPr>
        <w:pStyle w:val="paragraph"/>
        <w:numPr>
          <w:ilvl w:val="0"/>
          <w:numId w:val="35"/>
        </w:numPr>
        <w:spacing w:before="0" w:beforeAutospacing="0" w:after="0" w:afterAutospacing="0" w:line="260" w:lineRule="atLeast"/>
        <w:jc w:val="both"/>
        <w:textAlignment w:val="baseline"/>
        <w:rPr>
          <w:rFonts w:ascii="Verdana" w:hAnsi="Verdana" w:cstheme="minorHAnsi"/>
          <w:b/>
          <w:bCs/>
          <w:sz w:val="18"/>
          <w:szCs w:val="18"/>
        </w:rPr>
      </w:pPr>
      <w:r>
        <w:rPr>
          <w:rFonts w:ascii="Verdana" w:hAnsi="Verdana"/>
          <w:sz w:val="18"/>
          <w:szCs w:val="18"/>
        </w:rPr>
        <w:t>10.º e-mail;</w:t>
      </w:r>
    </w:p>
    <w:p w:rsidR="00825AC9" w:rsidRPr="004B7A6F" w:rsidRDefault="00825AC9" w:rsidP="00825AC9">
      <w:pPr>
        <w:pStyle w:val="paragraph"/>
        <w:numPr>
          <w:ilvl w:val="0"/>
          <w:numId w:val="35"/>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11.º e-mail.</w:t>
      </w:r>
    </w:p>
    <w:p w:rsidR="00825AC9" w:rsidRPr="004B7A6F" w:rsidRDefault="00825AC9" w:rsidP="00825AC9">
      <w:pPr>
        <w:pStyle w:val="paragraph"/>
        <w:spacing w:before="0" w:beforeAutospacing="0" w:after="0" w:afterAutospacing="0" w:line="260" w:lineRule="atLeast"/>
        <w:jc w:val="both"/>
        <w:textAlignment w:val="baseline"/>
        <w:rPr>
          <w:rFonts w:ascii="Verdana" w:hAnsi="Verdana" w:cstheme="minorHAnsi"/>
          <w:sz w:val="18"/>
          <w:szCs w:val="18"/>
        </w:rPr>
      </w:pPr>
    </w:p>
    <w:p w:rsidR="00825AC9" w:rsidRPr="004B7A6F" w:rsidRDefault="00825AC9" w:rsidP="00825AC9">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Pr>
          <w:rFonts w:ascii="Verdana" w:hAnsi="Verdana"/>
          <w:i/>
          <w:sz w:val="18"/>
          <w:szCs w:val="18"/>
        </w:rPr>
        <w:t>Pasta “</w:t>
      </w:r>
      <w:r>
        <w:rPr>
          <w:rStyle w:val="eop"/>
          <w:rFonts w:ascii="Verdana" w:hAnsi="Verdana"/>
          <w:i/>
          <w:sz w:val="18"/>
          <w:szCs w:val="18"/>
        </w:rPr>
        <w:t>Dia 2/2.2.3 Exercício de investigação/Provas/</w:t>
      </w:r>
      <w:r>
        <w:rPr>
          <w:rFonts w:ascii="Verdana" w:hAnsi="Verdana"/>
          <w:i/>
          <w:sz w:val="18"/>
          <w:szCs w:val="18"/>
        </w:rPr>
        <w:t>Depoimentos de testemunhas</w:t>
      </w:r>
      <w:r>
        <w:rPr>
          <w:rFonts w:ascii="Verdana" w:hAnsi="Verdana"/>
          <w:sz w:val="18"/>
          <w:szCs w:val="18"/>
        </w:rPr>
        <w:t>":</w:t>
      </w:r>
    </w:p>
    <w:p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lastRenderedPageBreak/>
        <w:t>Depoimento do DLO do FBA;</w:t>
      </w:r>
    </w:p>
    <w:p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Depoimento do FD do FBA;</w:t>
      </w:r>
    </w:p>
    <w:p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Pr>
          <w:rFonts w:ascii="Verdana" w:hAnsi="Verdana"/>
          <w:sz w:val="18"/>
          <w:szCs w:val="18"/>
        </w:rPr>
        <w:t>Depoimento do Departamento de TI do FBA.</w:t>
      </w:r>
    </w:p>
    <w:p w:rsidR="00825AC9" w:rsidRPr="00457B88"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457B88">
        <w:rPr>
          <w:rFonts w:ascii="Verdana" w:hAnsi="Verdana"/>
          <w:sz w:val="18"/>
          <w:szCs w:val="18"/>
        </w:rPr>
        <w:t>Declaração AD da DSBN em Ostland.</w:t>
      </w:r>
    </w:p>
    <w:p w:rsidR="00825AC9" w:rsidRPr="004B7A6F" w:rsidRDefault="00825AC9" w:rsidP="00825AC9">
      <w:pPr>
        <w:pStyle w:val="paragraph"/>
        <w:spacing w:before="0" w:beforeAutospacing="0" w:after="0" w:afterAutospacing="0" w:line="260" w:lineRule="atLeast"/>
        <w:jc w:val="both"/>
        <w:textAlignment w:val="baseline"/>
        <w:rPr>
          <w:rFonts w:ascii="Verdana" w:hAnsi="Verdana" w:cstheme="minorHAnsi"/>
          <w:sz w:val="18"/>
          <w:szCs w:val="18"/>
        </w:rPr>
      </w:pPr>
    </w:p>
    <w:p w:rsidR="00825AC9" w:rsidRPr="004B7A6F" w:rsidRDefault="00825AC9" w:rsidP="00825AC9">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Pr>
          <w:rFonts w:ascii="Verdana" w:hAnsi="Verdana"/>
          <w:i/>
          <w:sz w:val="18"/>
          <w:szCs w:val="18"/>
        </w:rPr>
        <w:t>Pasta "</w:t>
      </w:r>
      <w:r>
        <w:rPr>
          <w:rStyle w:val="eop"/>
          <w:rFonts w:ascii="Verdana" w:hAnsi="Verdana"/>
          <w:i/>
          <w:sz w:val="18"/>
          <w:szCs w:val="18"/>
        </w:rPr>
        <w:t>Dia 2/2.2.3 Exercício de investigação/Provas/</w:t>
      </w:r>
      <w:r>
        <w:rPr>
          <w:rFonts w:ascii="Verdana" w:hAnsi="Verdana"/>
          <w:i/>
          <w:sz w:val="18"/>
          <w:szCs w:val="18"/>
        </w:rPr>
        <w:t>Extratos bancários</w:t>
      </w:r>
      <w:r>
        <w:rPr>
          <w:rFonts w:ascii="Verdana" w:hAnsi="Verdana"/>
          <w:sz w:val="18"/>
          <w:szCs w:val="18"/>
        </w:rPr>
        <w:t>":</w:t>
      </w:r>
    </w:p>
    <w:p w:rsidR="00825AC9" w:rsidRPr="00457B88" w:rsidRDefault="00825AC9" w:rsidP="00825AC9">
      <w:pPr>
        <w:pStyle w:val="paragraph"/>
        <w:numPr>
          <w:ilvl w:val="0"/>
          <w:numId w:val="25"/>
        </w:numPr>
        <w:spacing w:before="0" w:beforeAutospacing="0" w:after="0" w:afterAutospacing="0" w:line="260" w:lineRule="atLeast"/>
        <w:ind w:left="0" w:firstLine="0"/>
        <w:jc w:val="both"/>
        <w:textAlignment w:val="baseline"/>
        <w:rPr>
          <w:rFonts w:ascii="Verdana" w:hAnsi="Verdana" w:cstheme="minorHAnsi"/>
          <w:sz w:val="18"/>
          <w:szCs w:val="18"/>
        </w:rPr>
      </w:pPr>
      <w:r w:rsidRPr="00457B88">
        <w:rPr>
          <w:rFonts w:ascii="Verdana" w:hAnsi="Verdana"/>
          <w:sz w:val="18"/>
          <w:szCs w:val="18"/>
        </w:rPr>
        <w:t>Extrato bancário da DSBN em Ostland;</w:t>
      </w:r>
    </w:p>
    <w:p w:rsidR="00825AC9" w:rsidRPr="00457B88" w:rsidRDefault="00825AC9" w:rsidP="00825AC9">
      <w:pPr>
        <w:spacing w:after="0" w:line="260" w:lineRule="atLeast"/>
        <w:jc w:val="both"/>
        <w:rPr>
          <w:rFonts w:ascii="Verdana" w:hAnsi="Verdana" w:cstheme="minorHAnsi"/>
          <w:i/>
          <w:sz w:val="18"/>
          <w:szCs w:val="18"/>
        </w:rPr>
      </w:pPr>
    </w:p>
    <w:p w:rsidR="003D6E80" w:rsidRDefault="003D6E80" w:rsidP="005A3F39">
      <w:pPr>
        <w:spacing w:after="0" w:line="260" w:lineRule="atLeast"/>
        <w:jc w:val="both"/>
        <w:rPr>
          <w:rFonts w:ascii="Verdana" w:hAnsi="Verdana"/>
          <w:sz w:val="18"/>
          <w:szCs w:val="18"/>
        </w:rPr>
      </w:pPr>
      <w:r>
        <w:rPr>
          <w:rFonts w:ascii="Verdana" w:hAnsi="Verdana"/>
          <w:b/>
          <w:sz w:val="18"/>
          <w:szCs w:val="18"/>
        </w:rPr>
        <w:t>Possíveis perguntas para os formandos</w:t>
      </w:r>
      <w:r>
        <w:rPr>
          <w:rFonts w:ascii="Verdana" w:hAnsi="Verdana"/>
          <w:sz w:val="18"/>
          <w:szCs w:val="18"/>
        </w:rPr>
        <w:t>:</w:t>
      </w:r>
    </w:p>
    <w:p w:rsidR="00321D54" w:rsidRPr="005A3F39" w:rsidRDefault="00321D54" w:rsidP="005A3F39">
      <w:pPr>
        <w:spacing w:after="0" w:line="260" w:lineRule="atLeast"/>
        <w:jc w:val="both"/>
        <w:rPr>
          <w:rFonts w:ascii="Verdana" w:hAnsi="Verdana" w:cstheme="minorHAnsi"/>
          <w:sz w:val="18"/>
          <w:szCs w:val="18"/>
        </w:rPr>
      </w:pPr>
    </w:p>
    <w:p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Pr>
          <w:rFonts w:ascii="Verdana" w:hAnsi="Verdana"/>
          <w:i/>
          <w:sz w:val="18"/>
          <w:szCs w:val="18"/>
        </w:rPr>
        <w:t>Porque é que o Diretor Financeiro autorizou a transação?</w:t>
      </w:r>
    </w:p>
    <w:p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Pr>
          <w:rFonts w:ascii="Verdana" w:hAnsi="Verdana"/>
          <w:i/>
          <w:sz w:val="18"/>
          <w:szCs w:val="18"/>
        </w:rPr>
        <w:t xml:space="preserve">Para que conta </w:t>
      </w:r>
      <w:r w:rsidR="008029E7">
        <w:rPr>
          <w:rFonts w:ascii="Verdana" w:hAnsi="Verdana"/>
          <w:i/>
          <w:sz w:val="18"/>
          <w:szCs w:val="18"/>
        </w:rPr>
        <w:t xml:space="preserve">foi efetuada </w:t>
      </w:r>
      <w:r>
        <w:rPr>
          <w:rFonts w:ascii="Verdana" w:hAnsi="Verdana"/>
          <w:i/>
          <w:sz w:val="18"/>
          <w:szCs w:val="18"/>
        </w:rPr>
        <w:t>a transação?</w:t>
      </w:r>
    </w:p>
    <w:p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Pr>
          <w:rFonts w:ascii="Verdana" w:hAnsi="Verdana"/>
          <w:i/>
          <w:sz w:val="18"/>
          <w:szCs w:val="18"/>
        </w:rPr>
        <w:t xml:space="preserve">Visto que a Ostland ratificou a Convenção de Budapeste, que medidas </w:t>
      </w:r>
      <w:r w:rsidR="008029E7">
        <w:rPr>
          <w:rFonts w:ascii="Verdana" w:hAnsi="Verdana"/>
          <w:i/>
          <w:sz w:val="18"/>
          <w:szCs w:val="18"/>
        </w:rPr>
        <w:t>pod</w:t>
      </w:r>
      <w:r>
        <w:rPr>
          <w:rFonts w:ascii="Verdana" w:hAnsi="Verdana"/>
          <w:i/>
          <w:sz w:val="18"/>
          <w:szCs w:val="18"/>
        </w:rPr>
        <w:t xml:space="preserve">erão </w:t>
      </w:r>
      <w:r w:rsidR="008029E7">
        <w:rPr>
          <w:rFonts w:ascii="Verdana" w:hAnsi="Verdana"/>
          <w:i/>
          <w:sz w:val="18"/>
          <w:szCs w:val="18"/>
        </w:rPr>
        <w:t>ser adotadas</w:t>
      </w:r>
      <w:r>
        <w:rPr>
          <w:rFonts w:ascii="Verdana" w:hAnsi="Verdana"/>
          <w:i/>
          <w:sz w:val="18"/>
          <w:szCs w:val="18"/>
        </w:rPr>
        <w:t xml:space="preserve"> pela</w:t>
      </w:r>
      <w:r w:rsidR="008029E7">
        <w:rPr>
          <w:rFonts w:ascii="Verdana" w:hAnsi="Verdana"/>
          <w:i/>
          <w:sz w:val="18"/>
          <w:szCs w:val="18"/>
        </w:rPr>
        <w:t>s</w:t>
      </w:r>
      <w:r>
        <w:rPr>
          <w:rFonts w:ascii="Verdana" w:hAnsi="Verdana"/>
          <w:i/>
          <w:sz w:val="18"/>
          <w:szCs w:val="18"/>
        </w:rPr>
        <w:t xml:space="preserve"> </w:t>
      </w:r>
      <w:r w:rsidR="008029E7">
        <w:rPr>
          <w:rFonts w:ascii="Verdana" w:hAnsi="Verdana"/>
          <w:i/>
          <w:sz w:val="18"/>
          <w:szCs w:val="18"/>
        </w:rPr>
        <w:t>entidades competentes para investigar</w:t>
      </w:r>
      <w:r>
        <w:rPr>
          <w:rFonts w:ascii="Verdana" w:hAnsi="Verdana"/>
          <w:i/>
          <w:sz w:val="18"/>
          <w:szCs w:val="18"/>
        </w:rPr>
        <w:t>?</w:t>
      </w:r>
    </w:p>
    <w:p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Pr>
          <w:rFonts w:ascii="Verdana" w:hAnsi="Verdana"/>
          <w:i/>
          <w:sz w:val="18"/>
          <w:szCs w:val="18"/>
        </w:rPr>
        <w:t>Que documentos e de que forma devem estes ser obtidos do FBA?</w:t>
      </w:r>
    </w:p>
    <w:p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Pr>
          <w:rFonts w:ascii="Verdana" w:hAnsi="Verdana"/>
          <w:i/>
          <w:sz w:val="18"/>
          <w:szCs w:val="18"/>
        </w:rPr>
        <w:t>Que documentos e de que forma devem estes ser obtidos da UBP?</w:t>
      </w:r>
    </w:p>
    <w:p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Pr>
          <w:rFonts w:ascii="Verdana" w:hAnsi="Verdana"/>
          <w:i/>
          <w:sz w:val="18"/>
          <w:szCs w:val="18"/>
        </w:rPr>
        <w:t>Que banco deve ser contactado e de que forma (com que tipo de solicitação) durante a investigação?</w:t>
      </w:r>
    </w:p>
    <w:p w:rsidR="00FB2166" w:rsidRPr="004A218D" w:rsidRDefault="00FB2166" w:rsidP="004A218D">
      <w:pPr>
        <w:pStyle w:val="ListParagraph"/>
        <w:numPr>
          <w:ilvl w:val="0"/>
          <w:numId w:val="37"/>
        </w:numPr>
        <w:spacing w:after="0" w:line="260" w:lineRule="atLeast"/>
        <w:jc w:val="both"/>
        <w:rPr>
          <w:rFonts w:ascii="Verdana" w:hAnsi="Verdana" w:cstheme="minorHAnsi"/>
          <w:i/>
          <w:sz w:val="18"/>
          <w:szCs w:val="18"/>
        </w:rPr>
      </w:pPr>
      <w:r>
        <w:rPr>
          <w:rFonts w:ascii="Verdana" w:hAnsi="Verdana"/>
          <w:i/>
          <w:sz w:val="18"/>
          <w:szCs w:val="18"/>
        </w:rPr>
        <w:t>Como é que o dinheiro pode ser levantado, se possível?</w:t>
      </w:r>
    </w:p>
    <w:p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Pr>
          <w:rFonts w:ascii="Verdana" w:hAnsi="Verdana"/>
          <w:i/>
          <w:sz w:val="18"/>
          <w:szCs w:val="18"/>
        </w:rPr>
        <w:t>Que tipo de pedidos e/ou despachos podem ser emitidos para todas as entidades comerciais e bancos?</w:t>
      </w:r>
    </w:p>
    <w:p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Pr>
          <w:rFonts w:ascii="Verdana" w:hAnsi="Verdana"/>
          <w:i/>
          <w:sz w:val="18"/>
          <w:szCs w:val="18"/>
        </w:rPr>
        <w:t>Quais são os motivos para este tipo de ação?</w:t>
      </w:r>
    </w:p>
    <w:p w:rsidR="00BB5741" w:rsidRPr="004A218D" w:rsidRDefault="00BB5741" w:rsidP="004A218D">
      <w:pPr>
        <w:pStyle w:val="ListParagraph"/>
        <w:numPr>
          <w:ilvl w:val="0"/>
          <w:numId w:val="37"/>
        </w:numPr>
        <w:spacing w:after="0" w:line="260" w:lineRule="atLeast"/>
        <w:jc w:val="both"/>
        <w:rPr>
          <w:rFonts w:ascii="Verdana" w:hAnsi="Verdana" w:cstheme="minorHAnsi"/>
          <w:i/>
          <w:sz w:val="18"/>
          <w:szCs w:val="18"/>
        </w:rPr>
      </w:pPr>
      <w:r>
        <w:rPr>
          <w:rFonts w:ascii="Verdana" w:hAnsi="Verdana"/>
          <w:i/>
          <w:sz w:val="18"/>
          <w:szCs w:val="18"/>
        </w:rPr>
        <w:t>Que artigos da Convenção de Budapeste serão utilizados?</w:t>
      </w:r>
    </w:p>
    <w:p w:rsidR="004A218D" w:rsidRDefault="004A218D" w:rsidP="004A218D">
      <w:pPr>
        <w:spacing w:after="0" w:line="260" w:lineRule="atLeast"/>
        <w:jc w:val="both"/>
        <w:rPr>
          <w:rFonts w:ascii="Verdana" w:hAnsi="Verdana" w:cstheme="minorHAnsi"/>
          <w:i/>
          <w:sz w:val="18"/>
          <w:szCs w:val="18"/>
        </w:rPr>
      </w:pPr>
    </w:p>
    <w:p w:rsidR="004A218D" w:rsidRPr="005A3F39" w:rsidRDefault="004A218D" w:rsidP="004A218D">
      <w:pPr>
        <w:spacing w:after="0" w:line="260" w:lineRule="atLeast"/>
        <w:jc w:val="both"/>
        <w:rPr>
          <w:rFonts w:ascii="Verdana" w:hAnsi="Verdana" w:cstheme="minorHAnsi"/>
          <w:i/>
          <w:sz w:val="18"/>
          <w:szCs w:val="18"/>
        </w:rPr>
      </w:pPr>
    </w:p>
    <w:p w:rsidR="00FB2166" w:rsidRDefault="00FB2166" w:rsidP="005A3F39">
      <w:pPr>
        <w:spacing w:after="0" w:line="260" w:lineRule="atLeast"/>
        <w:jc w:val="both"/>
        <w:rPr>
          <w:rFonts w:ascii="Verdana" w:hAnsi="Verdana" w:cstheme="minorHAnsi"/>
          <w:b/>
          <w:sz w:val="24"/>
          <w:szCs w:val="24"/>
        </w:rPr>
      </w:pPr>
      <w:r>
        <w:rPr>
          <w:rFonts w:ascii="Verdana" w:hAnsi="Verdana"/>
          <w:b/>
          <w:sz w:val="24"/>
          <w:szCs w:val="24"/>
        </w:rPr>
        <w:t>6.</w:t>
      </w:r>
      <w:r>
        <w:rPr>
          <w:rFonts w:ascii="Verdana" w:hAnsi="Verdana"/>
          <w:sz w:val="24"/>
          <w:szCs w:val="24"/>
        </w:rPr>
        <w:t xml:space="preserve"> </w:t>
      </w:r>
      <w:r>
        <w:rPr>
          <w:rFonts w:ascii="Verdana" w:hAnsi="Verdana"/>
          <w:b/>
          <w:sz w:val="24"/>
          <w:szCs w:val="24"/>
        </w:rPr>
        <w:t>Principais etapas da investigação e principais provas eletrónicas</w:t>
      </w:r>
    </w:p>
    <w:p w:rsidR="004A218D" w:rsidRPr="004A218D" w:rsidRDefault="004A218D" w:rsidP="005A3F39">
      <w:pPr>
        <w:spacing w:after="0" w:line="260" w:lineRule="atLeast"/>
        <w:jc w:val="both"/>
        <w:rPr>
          <w:rFonts w:ascii="Verdana" w:hAnsi="Verdana" w:cstheme="minorHAnsi"/>
          <w:sz w:val="24"/>
          <w:szCs w:val="24"/>
        </w:rPr>
      </w:pPr>
    </w:p>
    <w:p w:rsidR="00FB2166" w:rsidRDefault="00E4490A" w:rsidP="005A3F39">
      <w:pPr>
        <w:spacing w:after="0" w:line="260" w:lineRule="atLeast"/>
        <w:jc w:val="both"/>
        <w:rPr>
          <w:rFonts w:ascii="Verdana" w:hAnsi="Verdana" w:cstheme="minorHAnsi"/>
          <w:sz w:val="18"/>
          <w:szCs w:val="18"/>
        </w:rPr>
      </w:pPr>
      <w:r>
        <w:rPr>
          <w:rFonts w:ascii="Verdana" w:hAnsi="Verdana"/>
          <w:sz w:val="18"/>
          <w:szCs w:val="18"/>
        </w:rPr>
        <w:t>Os formandos irão presumir que o primeiro momento de contacto entre o FBA e a</w:t>
      </w:r>
      <w:r w:rsidR="008029E7">
        <w:rPr>
          <w:rFonts w:ascii="Verdana" w:hAnsi="Verdana"/>
          <w:sz w:val="18"/>
          <w:szCs w:val="18"/>
        </w:rPr>
        <w:t>s</w:t>
      </w:r>
      <w:r>
        <w:rPr>
          <w:rFonts w:ascii="Verdana" w:hAnsi="Verdana"/>
          <w:sz w:val="18"/>
          <w:szCs w:val="18"/>
        </w:rPr>
        <w:t xml:space="preserve"> </w:t>
      </w:r>
      <w:r w:rsidR="008029E7">
        <w:rPr>
          <w:rFonts w:ascii="Verdana" w:hAnsi="Verdana"/>
          <w:sz w:val="18"/>
          <w:szCs w:val="18"/>
        </w:rPr>
        <w:t>autoridades de justiça criminal</w:t>
      </w:r>
      <w:r>
        <w:rPr>
          <w:rFonts w:ascii="Verdana" w:hAnsi="Verdana"/>
          <w:sz w:val="18"/>
          <w:szCs w:val="18"/>
        </w:rPr>
        <w:t xml:space="preserve"> ocorreu no dia da transferência, quando o e-mail da UBP chegou com dúvidas sobre a falta da transferência de dinheiro e o feriado. A partir desse momento, consoante o sistema jurídico local, a investigação ira começar. O modelo é versátil e pode incluir </w:t>
      </w:r>
      <w:r w:rsidR="008029E7">
        <w:rPr>
          <w:rFonts w:ascii="Verdana" w:hAnsi="Verdana"/>
          <w:sz w:val="18"/>
          <w:szCs w:val="18"/>
        </w:rPr>
        <w:t xml:space="preserve">a </w:t>
      </w:r>
      <w:r>
        <w:rPr>
          <w:rFonts w:ascii="Verdana" w:hAnsi="Verdana"/>
          <w:sz w:val="18"/>
          <w:szCs w:val="18"/>
        </w:rPr>
        <w:t xml:space="preserve">polícia, </w:t>
      </w:r>
      <w:r w:rsidR="008029E7">
        <w:rPr>
          <w:rFonts w:ascii="Verdana" w:hAnsi="Verdana"/>
          <w:sz w:val="18"/>
          <w:szCs w:val="18"/>
        </w:rPr>
        <w:t>o Ministério Público</w:t>
      </w:r>
      <w:r>
        <w:rPr>
          <w:rFonts w:ascii="Verdana" w:hAnsi="Verdana"/>
          <w:sz w:val="18"/>
          <w:szCs w:val="18"/>
        </w:rPr>
        <w:t>, juízes de instrução e outras entidades, se necessário. Todas as instituições podem desempenhar um determinado papel e as suas ações têm um objetivo comum com diferentes abordagens.</w:t>
      </w:r>
    </w:p>
    <w:p w:rsidR="004A218D" w:rsidRPr="005A3F39" w:rsidRDefault="004A218D" w:rsidP="005A3F39">
      <w:pPr>
        <w:spacing w:after="0" w:line="260" w:lineRule="atLeast"/>
        <w:jc w:val="both"/>
        <w:rPr>
          <w:rFonts w:ascii="Verdana" w:hAnsi="Verdana" w:cstheme="minorHAnsi"/>
          <w:sz w:val="18"/>
          <w:szCs w:val="18"/>
        </w:rPr>
      </w:pPr>
    </w:p>
    <w:p w:rsidR="00FB2166" w:rsidRPr="005A3F39" w:rsidRDefault="00FB2166" w:rsidP="005A3F39">
      <w:pPr>
        <w:spacing w:after="0" w:line="260" w:lineRule="atLeast"/>
        <w:jc w:val="both"/>
        <w:rPr>
          <w:rFonts w:ascii="Verdana" w:hAnsi="Verdana" w:cstheme="minorHAnsi"/>
          <w:sz w:val="18"/>
          <w:szCs w:val="18"/>
        </w:rPr>
      </w:pPr>
      <w:r>
        <w:rPr>
          <w:rFonts w:ascii="Verdana" w:hAnsi="Verdana"/>
          <w:sz w:val="18"/>
          <w:szCs w:val="18"/>
        </w:rPr>
        <w:t xml:space="preserve">No entanto, as </w:t>
      </w:r>
      <w:r>
        <w:rPr>
          <w:rFonts w:ascii="Verdana" w:hAnsi="Verdana"/>
          <w:b/>
          <w:sz w:val="18"/>
          <w:szCs w:val="18"/>
        </w:rPr>
        <w:t>principais etapas da investigação devem ser</w:t>
      </w:r>
      <w:r>
        <w:rPr>
          <w:rFonts w:ascii="Verdana" w:hAnsi="Verdana"/>
          <w:sz w:val="18"/>
          <w:szCs w:val="18"/>
        </w:rPr>
        <w:t>:</w:t>
      </w:r>
    </w:p>
    <w:p w:rsidR="003D6E80" w:rsidRPr="005A3F39" w:rsidRDefault="003D6E80"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Registo dos depoimentos dos possíveis suspeitos;</w:t>
      </w:r>
    </w:p>
    <w:p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Registo dos depoimentos dos representantes do FBA;</w:t>
      </w:r>
    </w:p>
    <w:p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Obtenção de provas eletrónicas e outras provas do FBA;</w:t>
      </w:r>
    </w:p>
    <w:p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Registo dos depoimentos dos representantes da UBP;</w:t>
      </w:r>
    </w:p>
    <w:p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Obtenção de provas eletrónicas e outras provas da UBP;</w:t>
      </w:r>
    </w:p>
    <w:p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Registo dos depoimentos dos representantes da DSBN em Norland e Ostland;</w:t>
      </w:r>
    </w:p>
    <w:p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Obtenção de provas eletrónicas e outras provas de ambos os bancos;</w:t>
      </w:r>
    </w:p>
    <w:p w:rsidR="00FB2166" w:rsidRPr="005A3F39" w:rsidRDefault="00FB2166"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Obtenção de provas da autoridade de registo comercial competente em Ostland;</w:t>
      </w:r>
    </w:p>
    <w:p w:rsidR="00AA6669" w:rsidRPr="005A3F39" w:rsidRDefault="00AA6669"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Cooperação entre a polícia, o Ministério Público e, se for caso disso, juízes de instrução;</w:t>
      </w:r>
    </w:p>
    <w:p w:rsidR="00AA6669" w:rsidRPr="005A3F39" w:rsidRDefault="00AA6669"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 xml:space="preserve">Inclusão de </w:t>
      </w:r>
      <w:r w:rsidR="008029E7">
        <w:rPr>
          <w:rFonts w:ascii="Verdana" w:hAnsi="Verdana"/>
          <w:i/>
          <w:sz w:val="18"/>
          <w:szCs w:val="18"/>
        </w:rPr>
        <w:t>procedimentos de auxílio judiciário</w:t>
      </w:r>
      <w:r>
        <w:rPr>
          <w:rFonts w:ascii="Verdana" w:hAnsi="Verdana"/>
          <w:i/>
          <w:sz w:val="18"/>
          <w:szCs w:val="18"/>
        </w:rPr>
        <w:t xml:space="preserve"> internacional </w:t>
      </w:r>
      <w:r w:rsidR="006F325B">
        <w:rPr>
          <w:rFonts w:ascii="Verdana" w:hAnsi="Verdana"/>
          <w:i/>
          <w:sz w:val="18"/>
          <w:szCs w:val="18"/>
        </w:rPr>
        <w:t xml:space="preserve">contidos </w:t>
      </w:r>
      <w:r>
        <w:rPr>
          <w:rFonts w:ascii="Verdana" w:hAnsi="Verdana"/>
          <w:i/>
          <w:sz w:val="18"/>
          <w:szCs w:val="18"/>
        </w:rPr>
        <w:t>nas disposições da Convenção de Budapeste;</w:t>
      </w:r>
    </w:p>
    <w:p w:rsidR="003D6E80" w:rsidRDefault="003D6E80" w:rsidP="004A218D">
      <w:pPr>
        <w:pStyle w:val="ListParagraph"/>
        <w:numPr>
          <w:ilvl w:val="0"/>
          <w:numId w:val="38"/>
        </w:numPr>
        <w:spacing w:after="0" w:line="260" w:lineRule="atLeast"/>
        <w:jc w:val="both"/>
        <w:rPr>
          <w:rFonts w:ascii="Verdana" w:hAnsi="Verdana" w:cstheme="minorHAnsi"/>
          <w:i/>
          <w:sz w:val="18"/>
          <w:szCs w:val="18"/>
        </w:rPr>
      </w:pPr>
      <w:r>
        <w:rPr>
          <w:rFonts w:ascii="Verdana" w:hAnsi="Verdana"/>
          <w:i/>
          <w:sz w:val="18"/>
          <w:szCs w:val="18"/>
        </w:rPr>
        <w:t>Outras ações investigativas importantes reconhecidas e definidas pelos formandos com o apoio dos formadores.</w:t>
      </w:r>
    </w:p>
    <w:p w:rsidR="004A218D" w:rsidRPr="005A3F39" w:rsidRDefault="004A218D" w:rsidP="004A218D">
      <w:pPr>
        <w:pStyle w:val="ListParagraph"/>
        <w:numPr>
          <w:ilvl w:val="0"/>
          <w:numId w:val="38"/>
        </w:numPr>
        <w:spacing w:after="0" w:line="260" w:lineRule="atLeast"/>
        <w:jc w:val="both"/>
        <w:rPr>
          <w:rFonts w:ascii="Verdana" w:hAnsi="Verdana" w:cstheme="minorHAnsi"/>
          <w:i/>
          <w:sz w:val="18"/>
          <w:szCs w:val="18"/>
        </w:rPr>
      </w:pPr>
    </w:p>
    <w:p w:rsidR="00491FD7" w:rsidRPr="005A3F39" w:rsidRDefault="00491FD7" w:rsidP="005A3F39">
      <w:pPr>
        <w:spacing w:after="0" w:line="260" w:lineRule="atLeast"/>
        <w:jc w:val="both"/>
        <w:rPr>
          <w:rFonts w:ascii="Verdana" w:hAnsi="Verdana" w:cstheme="minorHAnsi"/>
          <w:b/>
          <w:sz w:val="18"/>
          <w:szCs w:val="18"/>
        </w:rPr>
      </w:pPr>
      <w:r>
        <w:rPr>
          <w:rFonts w:ascii="Verdana" w:hAnsi="Verdana"/>
          <w:b/>
          <w:sz w:val="18"/>
          <w:szCs w:val="18"/>
        </w:rPr>
        <w:lastRenderedPageBreak/>
        <w:t>Principais provas eletrónicas:</w:t>
      </w:r>
    </w:p>
    <w:p w:rsidR="00491FD7"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Registos informáticos do FBA;</w:t>
      </w:r>
    </w:p>
    <w:p w:rsidR="00491FD7" w:rsidRPr="005A3F39" w:rsidRDefault="00491FD7"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Spyware utilizado no FBA;</w:t>
      </w:r>
    </w:p>
    <w:p w:rsidR="00491FD7"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Servidor SMTP e registo do envio de e-mails falsos;</w:t>
      </w:r>
    </w:p>
    <w:p w:rsidR="00C948B3"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Criptomoeda (Bitcoin), blockchain, registo (ledger) de blockchain;</w:t>
      </w:r>
    </w:p>
    <w:p w:rsidR="00C948B3"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 xml:space="preserve">E-mails </w:t>
      </w:r>
      <w:r w:rsidR="006F325B">
        <w:rPr>
          <w:rFonts w:ascii="Verdana" w:hAnsi="Verdana"/>
          <w:i/>
          <w:sz w:val="18"/>
          <w:szCs w:val="18"/>
        </w:rPr>
        <w:t>verdadeiros</w:t>
      </w:r>
      <w:r>
        <w:rPr>
          <w:rFonts w:ascii="Verdana" w:hAnsi="Verdana"/>
          <w:i/>
          <w:sz w:val="18"/>
          <w:szCs w:val="18"/>
        </w:rPr>
        <w:t>;</w:t>
      </w:r>
    </w:p>
    <w:p w:rsidR="00C948B3" w:rsidRPr="005A3F39" w:rsidRDefault="00702188"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 xml:space="preserve">E-mail falso com </w:t>
      </w:r>
      <w:r w:rsidR="006F325B">
        <w:rPr>
          <w:rFonts w:ascii="Verdana" w:hAnsi="Verdana"/>
          <w:i/>
          <w:sz w:val="18"/>
          <w:szCs w:val="18"/>
        </w:rPr>
        <w:t xml:space="preserve">cabeçalho </w:t>
      </w:r>
      <w:r>
        <w:rPr>
          <w:rFonts w:ascii="Verdana" w:hAnsi="Verdana"/>
          <w:i/>
          <w:sz w:val="18"/>
          <w:szCs w:val="18"/>
        </w:rPr>
        <w:t>completo;</w:t>
      </w:r>
    </w:p>
    <w:p w:rsidR="00C948B3" w:rsidRPr="005A3F39" w:rsidRDefault="00702188"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Fatura falsa;</w:t>
      </w:r>
    </w:p>
    <w:p w:rsidR="00C948B3"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Registos informáticos da UBP;</w:t>
      </w:r>
    </w:p>
    <w:p w:rsidR="00C948B3" w:rsidRPr="005A3F39" w:rsidRDefault="00702188"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Registos bancários e de contas da DSBN;</w:t>
      </w:r>
    </w:p>
    <w:p w:rsidR="00C948B3"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Registos comerciais da empresa;</w:t>
      </w:r>
    </w:p>
    <w:p w:rsidR="00C948B3" w:rsidRPr="005A3F39" w:rsidRDefault="00C948B3" w:rsidP="004A218D">
      <w:pPr>
        <w:pStyle w:val="ListParagraph"/>
        <w:numPr>
          <w:ilvl w:val="0"/>
          <w:numId w:val="39"/>
        </w:numPr>
        <w:spacing w:after="0" w:line="260" w:lineRule="atLeast"/>
        <w:jc w:val="both"/>
        <w:rPr>
          <w:rFonts w:ascii="Verdana" w:hAnsi="Verdana" w:cstheme="minorHAnsi"/>
          <w:i/>
          <w:sz w:val="18"/>
          <w:szCs w:val="18"/>
        </w:rPr>
      </w:pPr>
      <w:r>
        <w:rPr>
          <w:rFonts w:ascii="Verdana" w:hAnsi="Verdana"/>
          <w:i/>
          <w:sz w:val="18"/>
          <w:szCs w:val="18"/>
        </w:rPr>
        <w:t>Registos de vigilância;</w:t>
      </w:r>
    </w:p>
    <w:p w:rsidR="00C948B3" w:rsidRDefault="00C948B3" w:rsidP="004A218D">
      <w:pPr>
        <w:pStyle w:val="ListParagraph"/>
        <w:numPr>
          <w:ilvl w:val="0"/>
          <w:numId w:val="39"/>
        </w:numPr>
        <w:spacing w:after="0" w:line="260" w:lineRule="atLeast"/>
        <w:jc w:val="both"/>
        <w:rPr>
          <w:rFonts w:ascii="Verdana" w:hAnsi="Verdana" w:cstheme="minorHAnsi"/>
          <w:sz w:val="18"/>
          <w:szCs w:val="18"/>
        </w:rPr>
      </w:pPr>
      <w:r>
        <w:rPr>
          <w:rFonts w:ascii="Verdana" w:hAnsi="Verdana"/>
          <w:sz w:val="18"/>
          <w:szCs w:val="18"/>
        </w:rPr>
        <w:t>Outra provas eletrónicas.</w:t>
      </w:r>
    </w:p>
    <w:p w:rsidR="004A218D" w:rsidRPr="004A218D" w:rsidRDefault="004A218D" w:rsidP="004A218D">
      <w:pPr>
        <w:spacing w:after="0" w:line="260" w:lineRule="atLeast"/>
        <w:ind w:left="360"/>
        <w:jc w:val="both"/>
        <w:rPr>
          <w:rFonts w:ascii="Verdana" w:hAnsi="Verdana" w:cstheme="minorHAnsi"/>
          <w:sz w:val="18"/>
          <w:szCs w:val="18"/>
        </w:rPr>
      </w:pPr>
    </w:p>
    <w:p w:rsidR="00FB2166" w:rsidRPr="005A3F39" w:rsidRDefault="00C948B3" w:rsidP="005A3F39">
      <w:pPr>
        <w:spacing w:after="0" w:line="260" w:lineRule="atLeast"/>
        <w:jc w:val="both"/>
        <w:rPr>
          <w:rFonts w:ascii="Verdana" w:hAnsi="Verdana" w:cstheme="minorHAnsi"/>
          <w:sz w:val="18"/>
          <w:szCs w:val="18"/>
        </w:rPr>
      </w:pPr>
      <w:r>
        <w:rPr>
          <w:rFonts w:ascii="Verdana" w:hAnsi="Verdana"/>
          <w:sz w:val="18"/>
          <w:szCs w:val="18"/>
        </w:rPr>
        <w:t>As listas não são exaustivas e podem ser alteradas ou atualizadas com outras etapas de investigação e provas eletrónicas, conforme necessário.</w:t>
      </w:r>
    </w:p>
    <w:p w:rsidR="00983120" w:rsidRDefault="00983120" w:rsidP="005A3F39">
      <w:pPr>
        <w:spacing w:after="0" w:line="260" w:lineRule="atLeast"/>
        <w:jc w:val="both"/>
        <w:rPr>
          <w:rFonts w:ascii="Verdana" w:hAnsi="Verdana" w:cstheme="minorHAnsi"/>
          <w:sz w:val="18"/>
          <w:szCs w:val="18"/>
        </w:rPr>
      </w:pPr>
    </w:p>
    <w:p w:rsidR="004A218D" w:rsidRPr="004B7A6F" w:rsidRDefault="004A218D" w:rsidP="004A218D">
      <w:pPr>
        <w:pStyle w:val="paragraph"/>
        <w:spacing w:before="0" w:beforeAutospacing="0" w:after="0" w:afterAutospacing="0" w:line="260" w:lineRule="atLeast"/>
        <w:jc w:val="both"/>
        <w:textAlignment w:val="baseline"/>
        <w:rPr>
          <w:rStyle w:val="eop"/>
          <w:rFonts w:asciiTheme="minorHAnsi" w:eastAsiaTheme="minorHAnsi" w:hAnsiTheme="minorHAnsi" w:cstheme="minorBidi"/>
          <w:sz w:val="22"/>
          <w:szCs w:val="22"/>
        </w:rPr>
      </w:pPr>
      <w:r>
        <w:rPr>
          <w:rStyle w:val="eop"/>
          <w:rFonts w:ascii="Verdana" w:hAnsi="Verdana"/>
          <w:b/>
          <w:sz w:val="18"/>
          <w:szCs w:val="18"/>
        </w:rPr>
        <w:t>Material adicional a ser utilizado no estudo de caso</w:t>
      </w:r>
      <w:r>
        <w:rPr>
          <w:rStyle w:val="eop"/>
          <w:rFonts w:ascii="Verdana" w:hAnsi="Verdana"/>
          <w:sz w:val="18"/>
          <w:szCs w:val="18"/>
        </w:rPr>
        <w:t>:</w:t>
      </w:r>
    </w:p>
    <w:p w:rsidR="004A218D" w:rsidRPr="004B7A6F" w:rsidRDefault="004A218D" w:rsidP="004A218D">
      <w:pPr>
        <w:pStyle w:val="paragraph"/>
        <w:numPr>
          <w:ilvl w:val="0"/>
          <w:numId w:val="13"/>
        </w:numPr>
        <w:spacing w:before="0" w:beforeAutospacing="0" w:after="0" w:afterAutospacing="0" w:line="260" w:lineRule="atLeast"/>
        <w:ind w:left="0" w:firstLine="0"/>
        <w:jc w:val="both"/>
        <w:textAlignment w:val="baseline"/>
        <w:rPr>
          <w:rStyle w:val="eop"/>
        </w:rPr>
      </w:pPr>
      <w:r>
        <w:rPr>
          <w:rStyle w:val="eop"/>
          <w:rFonts w:ascii="Verdana" w:hAnsi="Verdana"/>
          <w:i/>
          <w:sz w:val="18"/>
          <w:szCs w:val="18"/>
        </w:rPr>
        <w:t>Pasta "Dia 2/2.2.3 Exercício de investigação/Glossário</w:t>
      </w:r>
      <w:r>
        <w:rPr>
          <w:rStyle w:val="eop"/>
          <w:rFonts w:ascii="Verdana" w:hAnsi="Verdana"/>
          <w:sz w:val="18"/>
          <w:szCs w:val="18"/>
        </w:rPr>
        <w:t>":</w:t>
      </w:r>
    </w:p>
    <w:p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Pr>
      </w:pPr>
      <w:r>
        <w:rPr>
          <w:rStyle w:val="eop"/>
          <w:rFonts w:ascii="Verdana" w:hAnsi="Verdana"/>
          <w:sz w:val="18"/>
          <w:szCs w:val="18"/>
        </w:rPr>
        <w:t>Ameaça persistente avançada;</w:t>
      </w:r>
    </w:p>
    <w:p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Pr>
      </w:pPr>
      <w:r>
        <w:rPr>
          <w:rStyle w:val="eop"/>
          <w:rFonts w:ascii="Verdana" w:hAnsi="Verdana"/>
          <w:sz w:val="18"/>
          <w:szCs w:val="18"/>
        </w:rPr>
        <w:t>Criptomoedas;</w:t>
      </w:r>
    </w:p>
    <w:p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Pr>
      </w:pPr>
      <w:r>
        <w:rPr>
          <w:rStyle w:val="eop"/>
          <w:rFonts w:ascii="Verdana" w:hAnsi="Verdana"/>
          <w:sz w:val="18"/>
          <w:szCs w:val="18"/>
        </w:rPr>
        <w:t>Engenharia social;</w:t>
      </w:r>
    </w:p>
    <w:p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Pr>
      </w:pPr>
      <w:r>
        <w:rPr>
          <w:rStyle w:val="eop"/>
          <w:rFonts w:ascii="Verdana" w:hAnsi="Verdana"/>
          <w:sz w:val="18"/>
          <w:szCs w:val="18"/>
        </w:rPr>
        <w:t>Spyware;</w:t>
      </w:r>
    </w:p>
    <w:p w:rsidR="004A218D" w:rsidRDefault="004A218D" w:rsidP="004A218D">
      <w:pPr>
        <w:pStyle w:val="paragraph"/>
        <w:numPr>
          <w:ilvl w:val="0"/>
          <w:numId w:val="40"/>
        </w:numPr>
        <w:spacing w:before="0" w:beforeAutospacing="0" w:after="0" w:afterAutospacing="0" w:line="260" w:lineRule="atLeast"/>
        <w:jc w:val="both"/>
        <w:textAlignment w:val="baseline"/>
        <w:rPr>
          <w:rStyle w:val="eop"/>
        </w:rPr>
      </w:pPr>
      <w:r>
        <w:rPr>
          <w:rStyle w:val="eop"/>
          <w:rFonts w:ascii="Verdana" w:hAnsi="Verdana"/>
          <w:sz w:val="18"/>
          <w:szCs w:val="18"/>
        </w:rPr>
        <w:t>Servidor SMTP aberto e spoofing de e-mail.</w:t>
      </w:r>
    </w:p>
    <w:p w:rsidR="004A218D" w:rsidRDefault="004A218D" w:rsidP="004A218D">
      <w:pPr>
        <w:pStyle w:val="paragraph"/>
        <w:spacing w:before="0" w:beforeAutospacing="0" w:after="0" w:afterAutospacing="0" w:line="260" w:lineRule="atLeast"/>
        <w:jc w:val="both"/>
        <w:textAlignment w:val="baseline"/>
        <w:rPr>
          <w:rStyle w:val="eop"/>
        </w:rPr>
      </w:pPr>
    </w:p>
    <w:p w:rsidR="004A218D" w:rsidRDefault="004A218D" w:rsidP="004A218D">
      <w:pPr>
        <w:pStyle w:val="paragraph"/>
        <w:spacing w:before="0" w:beforeAutospacing="0" w:after="0" w:afterAutospacing="0" w:line="260" w:lineRule="atLeast"/>
        <w:jc w:val="both"/>
        <w:textAlignment w:val="baseline"/>
        <w:rPr>
          <w:rStyle w:val="eop"/>
        </w:rPr>
      </w:pPr>
    </w:p>
    <w:p w:rsidR="004A218D" w:rsidRDefault="004A218D" w:rsidP="004A218D">
      <w:pPr>
        <w:pStyle w:val="paragraph"/>
        <w:spacing w:before="0" w:beforeAutospacing="0" w:after="0" w:afterAutospacing="0" w:line="260" w:lineRule="atLeast"/>
        <w:jc w:val="both"/>
        <w:textAlignment w:val="baseline"/>
        <w:rPr>
          <w:rStyle w:val="eop"/>
        </w:rPr>
      </w:pPr>
    </w:p>
    <w:p w:rsidR="004A218D" w:rsidRPr="004A218D" w:rsidRDefault="004A218D" w:rsidP="004A218D">
      <w:pPr>
        <w:pStyle w:val="paragraph"/>
        <w:spacing w:before="0" w:beforeAutospacing="0" w:after="0" w:afterAutospacing="0" w:line="260" w:lineRule="atLeast"/>
        <w:jc w:val="both"/>
        <w:textAlignment w:val="baseline"/>
        <w:rPr>
          <w:rStyle w:val="eop"/>
        </w:rPr>
      </w:pPr>
      <w:r>
        <w:rPr>
          <w:rStyle w:val="eop"/>
          <w:rFonts w:ascii="Verdana" w:hAnsi="Verdana"/>
          <w:b/>
        </w:rPr>
        <w:t>7. Anexo</w:t>
      </w:r>
    </w:p>
    <w:p w:rsidR="004A218D" w:rsidRDefault="004A218D" w:rsidP="005A3F39">
      <w:pPr>
        <w:spacing w:after="0" w:line="260" w:lineRule="atLeast"/>
        <w:jc w:val="both"/>
        <w:rPr>
          <w:rFonts w:ascii="Verdana" w:hAnsi="Verdana" w:cstheme="minorHAnsi"/>
          <w:b/>
          <w:sz w:val="18"/>
          <w:szCs w:val="18"/>
        </w:rPr>
      </w:pPr>
    </w:p>
    <w:p w:rsidR="004A218D" w:rsidRPr="004A218D" w:rsidRDefault="004A218D" w:rsidP="005A3F39">
      <w:pPr>
        <w:spacing w:after="0" w:line="260" w:lineRule="atLeast"/>
        <w:jc w:val="both"/>
        <w:rPr>
          <w:rFonts w:ascii="Verdana" w:hAnsi="Verdana" w:cstheme="minorHAnsi"/>
          <w:b/>
          <w:sz w:val="18"/>
          <w:szCs w:val="18"/>
        </w:rPr>
      </w:pPr>
    </w:p>
    <w:sectPr w:rsidR="004A218D" w:rsidRPr="004A218D" w:rsidSect="00834FAD">
      <w:footerReference w:type="even"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57C1" w:rsidRDefault="006C57C1" w:rsidP="00580316">
      <w:pPr>
        <w:spacing w:after="0" w:line="240" w:lineRule="auto"/>
      </w:pPr>
      <w:r>
        <w:separator/>
      </w:r>
    </w:p>
  </w:endnote>
  <w:endnote w:type="continuationSeparator" w:id="0">
    <w:p w:rsidR="006C57C1" w:rsidRDefault="006C57C1" w:rsidP="00580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Lucida Grande">
    <w:altName w:val="Segoe UI"/>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38135856"/>
      <w:docPartObj>
        <w:docPartGallery w:val="Page Numbers (Bottom of Page)"/>
        <w:docPartUnique/>
      </w:docPartObj>
    </w:sdtPr>
    <w:sdtEndPr>
      <w:rPr>
        <w:rStyle w:val="PageNumber"/>
      </w:rPr>
    </w:sdtEndPr>
    <w:sdtContent>
      <w:p w:rsidR="00580316" w:rsidRDefault="00834FAD" w:rsidP="00F80050">
        <w:pPr>
          <w:pStyle w:val="Footer"/>
          <w:framePr w:wrap="none" w:vAnchor="text" w:hAnchor="margin" w:xAlign="center" w:y="1"/>
          <w:rPr>
            <w:rStyle w:val="PageNumber"/>
          </w:rPr>
        </w:pPr>
        <w:r>
          <w:rPr>
            <w:rStyle w:val="PageNumber"/>
          </w:rPr>
          <w:fldChar w:fldCharType="begin"/>
        </w:r>
        <w:r w:rsidR="00580316">
          <w:rPr>
            <w:rStyle w:val="PageNumber"/>
          </w:rPr>
          <w:instrText xml:space="preserve"> PAGE </w:instrText>
        </w:r>
        <w:r>
          <w:rPr>
            <w:rStyle w:val="PageNumber"/>
          </w:rPr>
          <w:fldChar w:fldCharType="end"/>
        </w:r>
      </w:p>
    </w:sdtContent>
  </w:sdt>
  <w:p w:rsidR="00580316" w:rsidRDefault="005803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215275"/>
      <w:docPartObj>
        <w:docPartGallery w:val="Page Numbers (Bottom of Page)"/>
        <w:docPartUnique/>
      </w:docPartObj>
    </w:sdtPr>
    <w:sdtContent>
      <w:sdt>
        <w:sdtPr>
          <w:id w:val="1728636285"/>
          <w:docPartObj>
            <w:docPartGallery w:val="Page Numbers (Top of Page)"/>
            <w:docPartUnique/>
          </w:docPartObj>
        </w:sdtPr>
        <w:sdtContent>
          <w:p w:rsidR="005F7892" w:rsidRDefault="005F7892">
            <w:pPr>
              <w:pStyle w:val="Footer"/>
              <w:jc w:val="center"/>
            </w:pPr>
            <w:r w:rsidRPr="005F7892">
              <w:rPr>
                <w:sz w:val="20"/>
                <w:szCs w:val="20"/>
              </w:rPr>
              <w:t xml:space="preserve">Page </w:t>
            </w:r>
            <w:r w:rsidRPr="005F7892">
              <w:rPr>
                <w:b/>
                <w:bCs/>
                <w:sz w:val="20"/>
                <w:szCs w:val="20"/>
              </w:rPr>
              <w:fldChar w:fldCharType="begin"/>
            </w:r>
            <w:r w:rsidRPr="005F7892">
              <w:rPr>
                <w:b/>
                <w:bCs/>
                <w:sz w:val="20"/>
                <w:szCs w:val="20"/>
              </w:rPr>
              <w:instrText xml:space="preserve"> PAGE </w:instrText>
            </w:r>
            <w:r w:rsidRPr="005F7892">
              <w:rPr>
                <w:b/>
                <w:bCs/>
                <w:sz w:val="20"/>
                <w:szCs w:val="20"/>
              </w:rPr>
              <w:fldChar w:fldCharType="separate"/>
            </w:r>
            <w:r w:rsidRPr="005F7892">
              <w:rPr>
                <w:b/>
                <w:bCs/>
                <w:noProof/>
                <w:sz w:val="20"/>
                <w:szCs w:val="20"/>
              </w:rPr>
              <w:t>2</w:t>
            </w:r>
            <w:r w:rsidRPr="005F7892">
              <w:rPr>
                <w:b/>
                <w:bCs/>
                <w:sz w:val="20"/>
                <w:szCs w:val="20"/>
              </w:rPr>
              <w:fldChar w:fldCharType="end"/>
            </w:r>
            <w:r w:rsidRPr="005F7892">
              <w:rPr>
                <w:sz w:val="20"/>
                <w:szCs w:val="20"/>
              </w:rPr>
              <w:t xml:space="preserve"> of </w:t>
            </w:r>
            <w:r w:rsidRPr="005F7892">
              <w:rPr>
                <w:b/>
                <w:bCs/>
                <w:sz w:val="20"/>
                <w:szCs w:val="20"/>
              </w:rPr>
              <w:fldChar w:fldCharType="begin"/>
            </w:r>
            <w:r w:rsidRPr="005F7892">
              <w:rPr>
                <w:b/>
                <w:bCs/>
                <w:sz w:val="20"/>
                <w:szCs w:val="20"/>
              </w:rPr>
              <w:instrText xml:space="preserve"> NUMPAGES  </w:instrText>
            </w:r>
            <w:r w:rsidRPr="005F7892">
              <w:rPr>
                <w:b/>
                <w:bCs/>
                <w:sz w:val="20"/>
                <w:szCs w:val="20"/>
              </w:rPr>
              <w:fldChar w:fldCharType="separate"/>
            </w:r>
            <w:r w:rsidRPr="005F7892">
              <w:rPr>
                <w:b/>
                <w:bCs/>
                <w:noProof/>
                <w:sz w:val="20"/>
                <w:szCs w:val="20"/>
              </w:rPr>
              <w:t>2</w:t>
            </w:r>
            <w:r w:rsidRPr="005F7892">
              <w:rPr>
                <w:b/>
                <w:bCs/>
                <w:sz w:val="20"/>
                <w:szCs w:val="20"/>
              </w:rPr>
              <w:fldChar w:fldCharType="end"/>
            </w:r>
          </w:p>
        </w:sdtContent>
      </w:sdt>
    </w:sdtContent>
  </w:sdt>
  <w:p w:rsidR="00580316" w:rsidRDefault="00580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57C1" w:rsidRDefault="006C57C1" w:rsidP="00580316">
      <w:pPr>
        <w:spacing w:after="0" w:line="240" w:lineRule="auto"/>
      </w:pPr>
      <w:r>
        <w:separator/>
      </w:r>
    </w:p>
  </w:footnote>
  <w:footnote w:type="continuationSeparator" w:id="0">
    <w:p w:rsidR="006C57C1" w:rsidRDefault="006C57C1" w:rsidP="005803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F737B"/>
    <w:multiLevelType w:val="hybridMultilevel"/>
    <w:tmpl w:val="48042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53BC3"/>
    <w:multiLevelType w:val="hybridMultilevel"/>
    <w:tmpl w:val="D7A21D8A"/>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D31E4"/>
    <w:multiLevelType w:val="hybridMultilevel"/>
    <w:tmpl w:val="707E2378"/>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48E75A2"/>
    <w:multiLevelType w:val="hybridMultilevel"/>
    <w:tmpl w:val="D034E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C3300F"/>
    <w:multiLevelType w:val="hybridMultilevel"/>
    <w:tmpl w:val="C4E054DE"/>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AD030B"/>
    <w:multiLevelType w:val="hybridMultilevel"/>
    <w:tmpl w:val="E2A21C74"/>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6224C2"/>
    <w:multiLevelType w:val="hybridMultilevel"/>
    <w:tmpl w:val="B4F0F56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AA164A"/>
    <w:multiLevelType w:val="hybridMultilevel"/>
    <w:tmpl w:val="83805F1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520A91"/>
    <w:multiLevelType w:val="hybridMultilevel"/>
    <w:tmpl w:val="13F4BB50"/>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40E1A83"/>
    <w:multiLevelType w:val="hybridMultilevel"/>
    <w:tmpl w:val="A9E8A3FE"/>
    <w:lvl w:ilvl="0" w:tplc="0409000B">
      <w:start w:val="1"/>
      <w:numFmt w:val="bullet"/>
      <w:lvlText w:val=""/>
      <w:lvlJc w:val="left"/>
      <w:pPr>
        <w:tabs>
          <w:tab w:val="num" w:pos="720"/>
        </w:tabs>
        <w:ind w:left="720" w:hanging="360"/>
      </w:pPr>
      <w:rPr>
        <w:rFonts w:ascii="Wingdings" w:hAnsi="Wingdings"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C37237D"/>
    <w:multiLevelType w:val="hybridMultilevel"/>
    <w:tmpl w:val="37BE00B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952663"/>
    <w:multiLevelType w:val="hybridMultilevel"/>
    <w:tmpl w:val="8FF63B8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DA591A"/>
    <w:multiLevelType w:val="hybridMultilevel"/>
    <w:tmpl w:val="02283824"/>
    <w:lvl w:ilvl="0" w:tplc="63FAC5A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A4264C"/>
    <w:multiLevelType w:val="hybridMultilevel"/>
    <w:tmpl w:val="B8BA5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1D3C08"/>
    <w:multiLevelType w:val="hybridMultilevel"/>
    <w:tmpl w:val="5DDE906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410770"/>
    <w:multiLevelType w:val="hybridMultilevel"/>
    <w:tmpl w:val="24AC5624"/>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87246D6"/>
    <w:multiLevelType w:val="hybridMultilevel"/>
    <w:tmpl w:val="6460565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CD66B5"/>
    <w:multiLevelType w:val="hybridMultilevel"/>
    <w:tmpl w:val="DF00964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5775D8"/>
    <w:multiLevelType w:val="hybridMultilevel"/>
    <w:tmpl w:val="3BE670C8"/>
    <w:lvl w:ilvl="0" w:tplc="0A9098EC">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B79BF"/>
    <w:multiLevelType w:val="hybridMultilevel"/>
    <w:tmpl w:val="CEAE7EC0"/>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A1A3DBD"/>
    <w:multiLevelType w:val="hybridMultilevel"/>
    <w:tmpl w:val="752A273E"/>
    <w:lvl w:ilvl="0" w:tplc="0A9098EC">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4C3323"/>
    <w:multiLevelType w:val="hybridMultilevel"/>
    <w:tmpl w:val="0E08AEE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C5A7F"/>
    <w:multiLevelType w:val="hybridMultilevel"/>
    <w:tmpl w:val="250A5728"/>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5A3566"/>
    <w:multiLevelType w:val="hybridMultilevel"/>
    <w:tmpl w:val="9BAED0F2"/>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80B0B05"/>
    <w:multiLevelType w:val="hybridMultilevel"/>
    <w:tmpl w:val="F6D028F6"/>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9E7721A"/>
    <w:multiLevelType w:val="hybridMultilevel"/>
    <w:tmpl w:val="06A4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C96F52"/>
    <w:multiLevelType w:val="hybridMultilevel"/>
    <w:tmpl w:val="B76C19A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844D33"/>
    <w:multiLevelType w:val="hybridMultilevel"/>
    <w:tmpl w:val="CA78D26C"/>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70C2927"/>
    <w:multiLevelType w:val="hybridMultilevel"/>
    <w:tmpl w:val="0C5C81C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DC5748"/>
    <w:multiLevelType w:val="hybridMultilevel"/>
    <w:tmpl w:val="9E5E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B50D33"/>
    <w:multiLevelType w:val="hybridMultilevel"/>
    <w:tmpl w:val="2CDAE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A81772"/>
    <w:multiLevelType w:val="hybridMultilevel"/>
    <w:tmpl w:val="63DC7F5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3E0CEE"/>
    <w:multiLevelType w:val="hybridMultilevel"/>
    <w:tmpl w:val="1CAEB8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523B68"/>
    <w:multiLevelType w:val="hybridMultilevel"/>
    <w:tmpl w:val="A9E2F3BA"/>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49D74C0"/>
    <w:multiLevelType w:val="multilevel"/>
    <w:tmpl w:val="E21865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6A03949"/>
    <w:multiLevelType w:val="hybridMultilevel"/>
    <w:tmpl w:val="B1F21B80"/>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B84F65"/>
    <w:multiLevelType w:val="hybridMultilevel"/>
    <w:tmpl w:val="53D2F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F85F1C"/>
    <w:multiLevelType w:val="hybridMultilevel"/>
    <w:tmpl w:val="FB3CE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4F4E8F"/>
    <w:multiLevelType w:val="hybridMultilevel"/>
    <w:tmpl w:val="17D6AA24"/>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163B8D"/>
    <w:multiLevelType w:val="hybridMultilevel"/>
    <w:tmpl w:val="943C2948"/>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C8831DA"/>
    <w:multiLevelType w:val="hybridMultilevel"/>
    <w:tmpl w:val="4906BB42"/>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0"/>
  </w:num>
  <w:num w:numId="3">
    <w:abstractNumId w:val="29"/>
  </w:num>
  <w:num w:numId="4">
    <w:abstractNumId w:val="25"/>
  </w:num>
  <w:num w:numId="5">
    <w:abstractNumId w:val="18"/>
  </w:num>
  <w:num w:numId="6">
    <w:abstractNumId w:val="20"/>
  </w:num>
  <w:num w:numId="7">
    <w:abstractNumId w:val="34"/>
  </w:num>
  <w:num w:numId="8">
    <w:abstractNumId w:val="9"/>
  </w:num>
  <w:num w:numId="9">
    <w:abstractNumId w:val="36"/>
  </w:num>
  <w:num w:numId="10">
    <w:abstractNumId w:val="13"/>
  </w:num>
  <w:num w:numId="11">
    <w:abstractNumId w:val="32"/>
  </w:num>
  <w:num w:numId="12">
    <w:abstractNumId w:val="37"/>
  </w:num>
  <w:num w:numId="13">
    <w:abstractNumId w:val="11"/>
  </w:num>
  <w:num w:numId="14">
    <w:abstractNumId w:val="30"/>
  </w:num>
  <w:num w:numId="15">
    <w:abstractNumId w:val="40"/>
  </w:num>
  <w:num w:numId="16">
    <w:abstractNumId w:val="27"/>
  </w:num>
  <w:num w:numId="17">
    <w:abstractNumId w:val="24"/>
  </w:num>
  <w:num w:numId="18">
    <w:abstractNumId w:val="23"/>
  </w:num>
  <w:num w:numId="19">
    <w:abstractNumId w:val="33"/>
  </w:num>
  <w:num w:numId="20">
    <w:abstractNumId w:val="19"/>
  </w:num>
  <w:num w:numId="21">
    <w:abstractNumId w:val="2"/>
  </w:num>
  <w:num w:numId="22">
    <w:abstractNumId w:val="10"/>
  </w:num>
  <w:num w:numId="23">
    <w:abstractNumId w:val="38"/>
  </w:num>
  <w:num w:numId="24">
    <w:abstractNumId w:val="21"/>
  </w:num>
  <w:num w:numId="25">
    <w:abstractNumId w:val="39"/>
  </w:num>
  <w:num w:numId="26">
    <w:abstractNumId w:val="15"/>
  </w:num>
  <w:num w:numId="27">
    <w:abstractNumId w:val="8"/>
  </w:num>
  <w:num w:numId="28">
    <w:abstractNumId w:val="4"/>
  </w:num>
  <w:num w:numId="29">
    <w:abstractNumId w:val="12"/>
  </w:num>
  <w:num w:numId="30">
    <w:abstractNumId w:val="22"/>
  </w:num>
  <w:num w:numId="31">
    <w:abstractNumId w:val="26"/>
  </w:num>
  <w:num w:numId="32">
    <w:abstractNumId w:val="28"/>
  </w:num>
  <w:num w:numId="33">
    <w:abstractNumId w:val="17"/>
  </w:num>
  <w:num w:numId="34">
    <w:abstractNumId w:val="1"/>
  </w:num>
  <w:num w:numId="35">
    <w:abstractNumId w:val="6"/>
  </w:num>
  <w:num w:numId="36">
    <w:abstractNumId w:val="5"/>
  </w:num>
  <w:num w:numId="37">
    <w:abstractNumId w:val="31"/>
  </w:num>
  <w:num w:numId="38">
    <w:abstractNumId w:val="35"/>
  </w:num>
  <w:num w:numId="39">
    <w:abstractNumId w:val="16"/>
  </w:num>
  <w:num w:numId="40">
    <w:abstractNumId w:val="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6302"/>
    <w:rsid w:val="000336BF"/>
    <w:rsid w:val="00035860"/>
    <w:rsid w:val="000548E8"/>
    <w:rsid w:val="00067D4E"/>
    <w:rsid w:val="000A7C66"/>
    <w:rsid w:val="000D6736"/>
    <w:rsid w:val="001810D3"/>
    <w:rsid w:val="001827DC"/>
    <w:rsid w:val="00194323"/>
    <w:rsid w:val="001A4425"/>
    <w:rsid w:val="001C51BB"/>
    <w:rsid w:val="001D04CD"/>
    <w:rsid w:val="001E3C8A"/>
    <w:rsid w:val="001E510B"/>
    <w:rsid w:val="001F7A74"/>
    <w:rsid w:val="0023192E"/>
    <w:rsid w:val="00255036"/>
    <w:rsid w:val="00261338"/>
    <w:rsid w:val="003137BF"/>
    <w:rsid w:val="003219E7"/>
    <w:rsid w:val="00321D54"/>
    <w:rsid w:val="00330F7F"/>
    <w:rsid w:val="0035248B"/>
    <w:rsid w:val="0039663A"/>
    <w:rsid w:val="003C6401"/>
    <w:rsid w:val="003D689C"/>
    <w:rsid w:val="003D6E80"/>
    <w:rsid w:val="003F005F"/>
    <w:rsid w:val="00415427"/>
    <w:rsid w:val="00416707"/>
    <w:rsid w:val="00422AEB"/>
    <w:rsid w:val="00453298"/>
    <w:rsid w:val="0045385F"/>
    <w:rsid w:val="00457B88"/>
    <w:rsid w:val="004623E9"/>
    <w:rsid w:val="00465946"/>
    <w:rsid w:val="00491FD7"/>
    <w:rsid w:val="004A218D"/>
    <w:rsid w:val="004A7EDF"/>
    <w:rsid w:val="004C0C72"/>
    <w:rsid w:val="004C13C8"/>
    <w:rsid w:val="004C3E27"/>
    <w:rsid w:val="00502C48"/>
    <w:rsid w:val="005358F1"/>
    <w:rsid w:val="00535A7D"/>
    <w:rsid w:val="00545B3E"/>
    <w:rsid w:val="005471F2"/>
    <w:rsid w:val="00580316"/>
    <w:rsid w:val="005A3F39"/>
    <w:rsid w:val="005B2E3A"/>
    <w:rsid w:val="005C71F9"/>
    <w:rsid w:val="005F5505"/>
    <w:rsid w:val="005F7892"/>
    <w:rsid w:val="0060150B"/>
    <w:rsid w:val="0064173B"/>
    <w:rsid w:val="00644878"/>
    <w:rsid w:val="0066408E"/>
    <w:rsid w:val="00672873"/>
    <w:rsid w:val="00675E65"/>
    <w:rsid w:val="006B2889"/>
    <w:rsid w:val="006C57C1"/>
    <w:rsid w:val="006D0B93"/>
    <w:rsid w:val="006F325B"/>
    <w:rsid w:val="00702188"/>
    <w:rsid w:val="00716583"/>
    <w:rsid w:val="0075142F"/>
    <w:rsid w:val="007572A0"/>
    <w:rsid w:val="0076508A"/>
    <w:rsid w:val="00775FDA"/>
    <w:rsid w:val="00795990"/>
    <w:rsid w:val="007C71F6"/>
    <w:rsid w:val="007D0F2D"/>
    <w:rsid w:val="007D228B"/>
    <w:rsid w:val="007E06A8"/>
    <w:rsid w:val="007F100C"/>
    <w:rsid w:val="007F305F"/>
    <w:rsid w:val="008020CF"/>
    <w:rsid w:val="008029E7"/>
    <w:rsid w:val="00813B26"/>
    <w:rsid w:val="008174AD"/>
    <w:rsid w:val="00825AC9"/>
    <w:rsid w:val="00834FAD"/>
    <w:rsid w:val="0083729E"/>
    <w:rsid w:val="00847446"/>
    <w:rsid w:val="00857569"/>
    <w:rsid w:val="008717EB"/>
    <w:rsid w:val="00890014"/>
    <w:rsid w:val="008A36C9"/>
    <w:rsid w:val="008C4930"/>
    <w:rsid w:val="008D5A40"/>
    <w:rsid w:val="0091281B"/>
    <w:rsid w:val="00964B13"/>
    <w:rsid w:val="0097490B"/>
    <w:rsid w:val="0097506C"/>
    <w:rsid w:val="00983120"/>
    <w:rsid w:val="009A3605"/>
    <w:rsid w:val="009A3BDB"/>
    <w:rsid w:val="009C2240"/>
    <w:rsid w:val="009C2F38"/>
    <w:rsid w:val="00A16106"/>
    <w:rsid w:val="00A64BC1"/>
    <w:rsid w:val="00A84E75"/>
    <w:rsid w:val="00AA4258"/>
    <w:rsid w:val="00AA6669"/>
    <w:rsid w:val="00AB1CCC"/>
    <w:rsid w:val="00AB5877"/>
    <w:rsid w:val="00AD3BB9"/>
    <w:rsid w:val="00B13C33"/>
    <w:rsid w:val="00B23EA1"/>
    <w:rsid w:val="00B432E1"/>
    <w:rsid w:val="00B83A23"/>
    <w:rsid w:val="00BB5741"/>
    <w:rsid w:val="00BE21BF"/>
    <w:rsid w:val="00C415BC"/>
    <w:rsid w:val="00C700EF"/>
    <w:rsid w:val="00C948B3"/>
    <w:rsid w:val="00CC0BF4"/>
    <w:rsid w:val="00CC505F"/>
    <w:rsid w:val="00CD5342"/>
    <w:rsid w:val="00CD6752"/>
    <w:rsid w:val="00CE1EE1"/>
    <w:rsid w:val="00D06302"/>
    <w:rsid w:val="00D1027F"/>
    <w:rsid w:val="00D12291"/>
    <w:rsid w:val="00D44B76"/>
    <w:rsid w:val="00D73FE9"/>
    <w:rsid w:val="00D82FA5"/>
    <w:rsid w:val="00D95557"/>
    <w:rsid w:val="00DC702A"/>
    <w:rsid w:val="00DD161C"/>
    <w:rsid w:val="00DD1D9A"/>
    <w:rsid w:val="00DF3F9A"/>
    <w:rsid w:val="00E02BFA"/>
    <w:rsid w:val="00E10FD0"/>
    <w:rsid w:val="00E4490A"/>
    <w:rsid w:val="00ED43D0"/>
    <w:rsid w:val="00F43D7D"/>
    <w:rsid w:val="00F44225"/>
    <w:rsid w:val="00F72A93"/>
    <w:rsid w:val="00F94556"/>
    <w:rsid w:val="00FA048B"/>
    <w:rsid w:val="00FB2166"/>
    <w:rsid w:val="00FB403A"/>
    <w:rsid w:val="00FC25BA"/>
    <w:rsid w:val="00FC28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869B80-8775-45CC-BCA9-2646580FF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4F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0EF"/>
    <w:pPr>
      <w:ind w:left="720"/>
      <w:contextualSpacing/>
    </w:pPr>
  </w:style>
  <w:style w:type="paragraph" w:styleId="BalloonText">
    <w:name w:val="Balloon Text"/>
    <w:basedOn w:val="Normal"/>
    <w:link w:val="BalloonTextChar"/>
    <w:uiPriority w:val="99"/>
    <w:semiHidden/>
    <w:unhideWhenUsed/>
    <w:rsid w:val="007C71F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71F6"/>
    <w:rPr>
      <w:rFonts w:ascii="Lucida Grande" w:hAnsi="Lucida Grande" w:cs="Lucida Grande"/>
      <w:sz w:val="18"/>
      <w:szCs w:val="18"/>
    </w:rPr>
  </w:style>
  <w:style w:type="character" w:styleId="CommentReference">
    <w:name w:val="annotation reference"/>
    <w:basedOn w:val="DefaultParagraphFont"/>
    <w:uiPriority w:val="99"/>
    <w:semiHidden/>
    <w:unhideWhenUsed/>
    <w:rsid w:val="007C71F6"/>
    <w:rPr>
      <w:sz w:val="18"/>
      <w:szCs w:val="18"/>
    </w:rPr>
  </w:style>
  <w:style w:type="paragraph" w:styleId="CommentText">
    <w:name w:val="annotation text"/>
    <w:basedOn w:val="Normal"/>
    <w:link w:val="CommentTextChar"/>
    <w:uiPriority w:val="99"/>
    <w:semiHidden/>
    <w:unhideWhenUsed/>
    <w:rsid w:val="007C71F6"/>
    <w:pPr>
      <w:spacing w:line="240" w:lineRule="auto"/>
    </w:pPr>
    <w:rPr>
      <w:sz w:val="24"/>
      <w:szCs w:val="24"/>
    </w:rPr>
  </w:style>
  <w:style w:type="character" w:customStyle="1" w:styleId="CommentTextChar">
    <w:name w:val="Comment Text Char"/>
    <w:basedOn w:val="DefaultParagraphFont"/>
    <w:link w:val="CommentText"/>
    <w:uiPriority w:val="99"/>
    <w:semiHidden/>
    <w:rsid w:val="007C71F6"/>
    <w:rPr>
      <w:sz w:val="24"/>
      <w:szCs w:val="24"/>
    </w:rPr>
  </w:style>
  <w:style w:type="paragraph" w:styleId="CommentSubject">
    <w:name w:val="annotation subject"/>
    <w:basedOn w:val="CommentText"/>
    <w:next w:val="CommentText"/>
    <w:link w:val="CommentSubjectChar"/>
    <w:uiPriority w:val="99"/>
    <w:semiHidden/>
    <w:unhideWhenUsed/>
    <w:rsid w:val="007C71F6"/>
    <w:rPr>
      <w:b/>
      <w:bCs/>
      <w:sz w:val="20"/>
      <w:szCs w:val="20"/>
    </w:rPr>
  </w:style>
  <w:style w:type="character" w:customStyle="1" w:styleId="CommentSubjectChar">
    <w:name w:val="Comment Subject Char"/>
    <w:basedOn w:val="CommentTextChar"/>
    <w:link w:val="CommentSubject"/>
    <w:uiPriority w:val="99"/>
    <w:semiHidden/>
    <w:rsid w:val="007C71F6"/>
    <w:rPr>
      <w:b/>
      <w:bCs/>
      <w:sz w:val="20"/>
      <w:szCs w:val="20"/>
    </w:rPr>
  </w:style>
  <w:style w:type="character" w:styleId="Hyperlink">
    <w:name w:val="Hyperlink"/>
    <w:uiPriority w:val="99"/>
    <w:rsid w:val="0091281B"/>
    <w:rPr>
      <w:rFonts w:cs="Times New Roman"/>
      <w:color w:val="0000FF"/>
      <w:u w:val="single"/>
    </w:rPr>
  </w:style>
  <w:style w:type="paragraph" w:customStyle="1" w:styleId="FV1zentriert">
    <w:name w:val="FV1 zentriert"/>
    <w:basedOn w:val="Normal"/>
    <w:uiPriority w:val="99"/>
    <w:rsid w:val="0091281B"/>
    <w:pPr>
      <w:spacing w:after="120" w:line="260" w:lineRule="exact"/>
      <w:jc w:val="center"/>
    </w:pPr>
    <w:rPr>
      <w:rFonts w:ascii="Arial Narrow" w:eastAsia="Calibri" w:hAnsi="Arial Narrow" w:cs="Times New Roman"/>
      <w:b/>
      <w:sz w:val="18"/>
      <w:szCs w:val="19"/>
    </w:rPr>
  </w:style>
  <w:style w:type="paragraph" w:customStyle="1" w:styleId="Formatvorlage1">
    <w:name w:val="Formatvorlage1"/>
    <w:basedOn w:val="Normal"/>
    <w:uiPriority w:val="99"/>
    <w:rsid w:val="0091281B"/>
    <w:pPr>
      <w:spacing w:after="0" w:line="260" w:lineRule="atLeast"/>
      <w:jc w:val="both"/>
    </w:pPr>
    <w:rPr>
      <w:rFonts w:ascii="Verdana" w:eastAsia="Calibri" w:hAnsi="Verdana" w:cs="Times New Roman"/>
      <w:b/>
      <w:sz w:val="18"/>
      <w:szCs w:val="24"/>
    </w:rPr>
  </w:style>
  <w:style w:type="paragraph" w:styleId="Footer">
    <w:name w:val="footer"/>
    <w:basedOn w:val="Normal"/>
    <w:link w:val="FooterChar"/>
    <w:uiPriority w:val="99"/>
    <w:unhideWhenUsed/>
    <w:rsid w:val="005803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316"/>
  </w:style>
  <w:style w:type="character" w:styleId="PageNumber">
    <w:name w:val="page number"/>
    <w:basedOn w:val="DefaultParagraphFont"/>
    <w:uiPriority w:val="99"/>
    <w:semiHidden/>
    <w:unhideWhenUsed/>
    <w:rsid w:val="00580316"/>
  </w:style>
  <w:style w:type="character" w:customStyle="1" w:styleId="normaltextrun">
    <w:name w:val="normaltextrun"/>
    <w:basedOn w:val="DefaultParagraphFont"/>
    <w:rsid w:val="004A7EDF"/>
  </w:style>
  <w:style w:type="paragraph" w:customStyle="1" w:styleId="paragraph">
    <w:name w:val="paragraph"/>
    <w:basedOn w:val="Normal"/>
    <w:rsid w:val="00F72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3D689C"/>
  </w:style>
  <w:style w:type="paragraph" w:styleId="Header">
    <w:name w:val="header"/>
    <w:basedOn w:val="Normal"/>
    <w:link w:val="HeaderChar"/>
    <w:uiPriority w:val="99"/>
    <w:unhideWhenUsed/>
    <w:rsid w:val="005F78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C649E-1D17-4271-A5C5-054275975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3489</Words>
  <Characters>19888</Characters>
  <Application>Microsoft Office Word</Application>
  <DocSecurity>0</DocSecurity>
  <Lines>165</Lines>
  <Paragraphs>46</Paragraphs>
  <ScaleCrop>false</ScaleCrop>
  <HeadingPairs>
    <vt:vector size="6" baseType="variant">
      <vt:variant>
        <vt:lpstr>Título</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MENGHES Cosmina</cp:lastModifiedBy>
  <cp:revision>6</cp:revision>
  <dcterms:created xsi:type="dcterms:W3CDTF">2019-04-16T11:13:00Z</dcterms:created>
  <dcterms:modified xsi:type="dcterms:W3CDTF">2019-09-02T11:59:00Z</dcterms:modified>
</cp:coreProperties>
</file>